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numPr>
          <w:ilvl w:val="0"/>
          <w:numId w:val="0"/>
        </w:num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关于开展首届宁波市学习共同体</w:t>
      </w:r>
    </w:p>
    <w:p>
      <w:pPr>
        <w:numPr>
          <w:ilvl w:val="0"/>
          <w:numId w:val="0"/>
        </w:num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成果展演活动的通知</w:t>
      </w:r>
    </w:p>
    <w:p>
      <w:pPr>
        <w:numPr>
          <w:ilvl w:val="0"/>
          <w:numId w:val="0"/>
        </w:numPr>
        <w:jc w:val="center"/>
        <w:rPr>
          <w:rFonts w:hint="eastAsia" w:ascii="宋体" w:hAnsi="宋体" w:eastAsia="宋体" w:cs="宋体"/>
          <w:b/>
          <w:bCs/>
          <w:sz w:val="44"/>
          <w:szCs w:val="44"/>
          <w:lang w:val="en-US" w:eastAsia="zh-CN"/>
        </w:rPr>
      </w:pPr>
    </w:p>
    <w:p>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各区县（市）教育局、大榭开发区社会发展保障局、东钱湖旅游渡假区社会事务管理局、宁波国家高新区教育文体局、宁波杭州湾新区教育文体局、各相关学校（单位）：</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w:t>
      </w:r>
      <w:r>
        <w:rPr>
          <w:rFonts w:hint="eastAsia" w:ascii="仿宋" w:hAnsi="仿宋" w:eastAsia="仿宋" w:cs="仿宋"/>
          <w:i w:val="0"/>
          <w:caps w:val="0"/>
          <w:color w:val="auto"/>
          <w:spacing w:val="0"/>
          <w:sz w:val="32"/>
          <w:szCs w:val="32"/>
          <w:shd w:val="clear" w:fill="FFFFFF"/>
          <w:lang w:val="en-US" w:eastAsia="zh-CN"/>
        </w:rPr>
        <w:t>全面贯彻落实党的十九大提出的“办好继续教育，加快建设学习型社会，大力提高国民素质”和十九届四中全会提出的“构建服务全民终身学习的教育体系”要求，</w:t>
      </w:r>
      <w:r>
        <w:rPr>
          <w:rFonts w:hint="eastAsia" w:ascii="仿宋" w:hAnsi="仿宋" w:eastAsia="仿宋" w:cs="仿宋"/>
          <w:color w:val="auto"/>
          <w:sz w:val="32"/>
          <w:szCs w:val="32"/>
          <w:lang w:val="en-US" w:eastAsia="zh-CN"/>
        </w:rPr>
        <w:t>进一步宣传全民终身学习理念，营造全民终身学习氛围，增强市民学习成就感和幸福感，促进学习共同体发展，加快建设学习型社会，经研究，决定开展首届宁波市学习共同体成果展演活动（以下简称“展演活动”），现将有关事宜通知如下：</w:t>
      </w:r>
    </w:p>
    <w:p>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一、展演对象</w:t>
      </w:r>
    </w:p>
    <w:p>
      <w:pPr>
        <w:numPr>
          <w:ilvl w:val="0"/>
          <w:numId w:val="0"/>
        </w:numPr>
        <w:ind w:firstLine="600"/>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我市各级各类学习型团队、学习兴趣小组等学习共同体均可报名参加展演活动。</w:t>
      </w:r>
    </w:p>
    <w:p>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二、展演内容</w:t>
      </w:r>
    </w:p>
    <w:p>
      <w:pPr>
        <w:numPr>
          <w:ilvl w:val="0"/>
          <w:numId w:val="0"/>
        </w:numPr>
        <w:ind w:firstLine="600"/>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color w:val="auto"/>
          <w:sz w:val="32"/>
          <w:szCs w:val="32"/>
          <w:lang w:val="en-US" w:eastAsia="zh-CN"/>
        </w:rPr>
        <w:t>首届活动分为静态学习成果展演、动态学习成果展演两大类。静态类设书法、绘画、摄影、手工制作等4个项目，动态类设声乐、乐器、舞蹈、武术和其他表演（如戏曲表演、模特走秀、舞龙舞狮等）等5个项目</w:t>
      </w:r>
      <w:r>
        <w:rPr>
          <w:rFonts w:hint="eastAsia" w:ascii="仿宋" w:hAnsi="仿宋" w:eastAsia="仿宋" w:cs="仿宋"/>
          <w:i w:val="0"/>
          <w:caps w:val="0"/>
          <w:color w:val="auto"/>
          <w:spacing w:val="0"/>
          <w:sz w:val="32"/>
          <w:szCs w:val="32"/>
          <w:shd w:val="clear" w:fill="FFFFFF"/>
          <w:lang w:val="en-US" w:eastAsia="zh-CN"/>
        </w:rPr>
        <w:t>。</w:t>
      </w:r>
    </w:p>
    <w:p>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三、活动流程</w:t>
      </w:r>
    </w:p>
    <w:p>
      <w:pPr>
        <w:numPr>
          <w:ilvl w:val="0"/>
          <w:numId w:val="0"/>
        </w:numPr>
        <w:ind w:firstLine="560"/>
        <w:rPr>
          <w:rFonts w:hint="eastAsia" w:ascii="仿宋" w:hAnsi="仿宋" w:eastAsia="仿宋" w:cs="仿宋"/>
          <w:color w:val="auto"/>
          <w:sz w:val="32"/>
          <w:szCs w:val="32"/>
          <w:lang w:val="en-US" w:eastAsia="zh-CN"/>
        </w:rPr>
      </w:pPr>
      <w:r>
        <w:rPr>
          <w:rFonts w:hint="eastAsia" w:ascii="仿宋" w:hAnsi="仿宋" w:eastAsia="仿宋" w:cs="仿宋"/>
          <w:i w:val="0"/>
          <w:caps w:val="0"/>
          <w:color w:val="auto"/>
          <w:spacing w:val="0"/>
          <w:sz w:val="32"/>
          <w:szCs w:val="32"/>
          <w:shd w:val="clear" w:fill="FFFFFF"/>
          <w:lang w:val="en-US" w:eastAsia="zh-CN"/>
        </w:rPr>
        <w:t>展演活动设报名、初选、决选三个环节。</w:t>
      </w:r>
      <w:r>
        <w:rPr>
          <w:rFonts w:hint="eastAsia" w:ascii="仿宋" w:hAnsi="仿宋" w:eastAsia="仿宋" w:cs="仿宋"/>
          <w:color w:val="auto"/>
          <w:sz w:val="32"/>
          <w:szCs w:val="32"/>
          <w:lang w:val="en-US" w:eastAsia="zh-CN"/>
        </w:rPr>
        <w:t>决选产生的优秀学习共同体将在今年宁波市全民终身学习活动周期间进行表彰、展演。</w:t>
      </w:r>
    </w:p>
    <w:p>
      <w:pPr>
        <w:numPr>
          <w:ilvl w:val="0"/>
          <w:numId w:val="0"/>
        </w:numPr>
        <w:ind w:firstLine="56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（一）报名环节：由各乡镇（街道）成校为主组织开展宣传推广，</w:t>
      </w:r>
      <w:r>
        <w:rPr>
          <w:rFonts w:hint="eastAsia" w:ascii="仿宋" w:hAnsi="仿宋" w:eastAsia="仿宋" w:cs="仿宋"/>
          <w:i w:val="0"/>
          <w:caps w:val="0"/>
          <w:color w:val="auto"/>
          <w:spacing w:val="0"/>
          <w:sz w:val="32"/>
          <w:szCs w:val="32"/>
          <w:shd w:val="clear" w:fill="FFFFFF"/>
          <w:lang w:val="en-US" w:eastAsia="zh-CN"/>
        </w:rPr>
        <w:t>进行线上报名</w:t>
      </w:r>
      <w:r>
        <w:rPr>
          <w:rFonts w:hint="eastAsia" w:ascii="仿宋" w:hAnsi="仿宋" w:eastAsia="仿宋" w:cs="仿宋"/>
          <w:color w:val="auto"/>
          <w:sz w:val="32"/>
          <w:szCs w:val="32"/>
          <w:lang w:val="en-US" w:eastAsia="zh-CN"/>
        </w:rPr>
        <w:t>登记。不设成校的乡镇（街道）建议由区县（市）社区学院负责做好相关工作。</w:t>
      </w:r>
    </w:p>
    <w:p>
      <w:pPr>
        <w:numPr>
          <w:ilvl w:val="0"/>
          <w:numId w:val="0"/>
        </w:numPr>
        <w:ind w:firstLine="56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（二）初选环节：初选由各区县（市）教育部门组织实施，进行网上</w:t>
      </w:r>
      <w:r>
        <w:rPr>
          <w:rFonts w:hint="eastAsia" w:ascii="仿宋" w:hAnsi="仿宋" w:eastAsia="仿宋" w:cs="仿宋"/>
          <w:i w:val="0"/>
          <w:caps w:val="0"/>
          <w:color w:val="auto"/>
          <w:spacing w:val="0"/>
          <w:sz w:val="32"/>
          <w:szCs w:val="32"/>
          <w:shd w:val="clear" w:fill="FFFFFF"/>
          <w:lang w:val="en-US" w:eastAsia="zh-CN"/>
        </w:rPr>
        <w:t>展示</w:t>
      </w:r>
      <w:r>
        <w:rPr>
          <w:rFonts w:hint="eastAsia" w:ascii="仿宋" w:hAnsi="仿宋" w:eastAsia="仿宋" w:cs="仿宋"/>
          <w:color w:val="auto"/>
          <w:sz w:val="32"/>
          <w:szCs w:val="32"/>
          <w:lang w:val="en-US" w:eastAsia="zh-CN"/>
        </w:rPr>
        <w:t>、专家评审和</w:t>
      </w:r>
      <w:r>
        <w:rPr>
          <w:rFonts w:hint="eastAsia" w:ascii="仿宋" w:hAnsi="仿宋" w:eastAsia="仿宋" w:cs="仿宋"/>
          <w:i w:val="0"/>
          <w:caps w:val="0"/>
          <w:color w:val="auto"/>
          <w:spacing w:val="0"/>
          <w:sz w:val="32"/>
          <w:szCs w:val="32"/>
          <w:shd w:val="clear" w:fill="FFFFFF"/>
          <w:lang w:val="en-US" w:eastAsia="zh-CN"/>
        </w:rPr>
        <w:t>结果公示</w:t>
      </w:r>
      <w:r>
        <w:rPr>
          <w:rFonts w:hint="eastAsia" w:ascii="仿宋" w:hAnsi="仿宋" w:eastAsia="仿宋" w:cs="仿宋"/>
          <w:color w:val="auto"/>
          <w:sz w:val="32"/>
          <w:szCs w:val="32"/>
          <w:lang w:val="en-US" w:eastAsia="zh-CN"/>
        </w:rPr>
        <w:t>。</w:t>
      </w:r>
      <w:r>
        <w:rPr>
          <w:rFonts w:hint="eastAsia" w:ascii="仿宋" w:hAnsi="仿宋" w:eastAsia="仿宋" w:cs="仿宋"/>
          <w:i w:val="0"/>
          <w:caps w:val="0"/>
          <w:color w:val="auto"/>
          <w:spacing w:val="0"/>
          <w:sz w:val="32"/>
          <w:szCs w:val="32"/>
          <w:shd w:val="clear" w:fill="FFFFFF"/>
          <w:lang w:val="en-US" w:eastAsia="zh-CN"/>
        </w:rPr>
        <w:t>期间，</w:t>
      </w:r>
      <w:r>
        <w:rPr>
          <w:rFonts w:hint="eastAsia" w:ascii="仿宋" w:hAnsi="仿宋" w:eastAsia="仿宋" w:cs="仿宋"/>
          <w:color w:val="auto"/>
          <w:sz w:val="32"/>
          <w:szCs w:val="32"/>
          <w:lang w:val="en-US" w:eastAsia="zh-CN"/>
        </w:rPr>
        <w:t>各乡镇（街道）成校和区县（市）社区学院</w:t>
      </w:r>
      <w:r>
        <w:rPr>
          <w:rFonts w:hint="eastAsia" w:ascii="仿宋" w:hAnsi="仿宋" w:eastAsia="仿宋" w:cs="仿宋"/>
          <w:i w:val="0"/>
          <w:caps w:val="0"/>
          <w:color w:val="auto"/>
          <w:spacing w:val="0"/>
          <w:sz w:val="32"/>
          <w:szCs w:val="32"/>
          <w:shd w:val="clear" w:fill="FFFFFF"/>
          <w:lang w:val="en-US" w:eastAsia="zh-CN"/>
        </w:rPr>
        <w:t>要组织参选</w:t>
      </w:r>
      <w:r>
        <w:rPr>
          <w:rFonts w:hint="eastAsia" w:ascii="仿宋" w:hAnsi="仿宋" w:eastAsia="仿宋" w:cs="仿宋"/>
          <w:color w:val="auto"/>
          <w:sz w:val="32"/>
          <w:szCs w:val="32"/>
          <w:lang w:val="en-US" w:eastAsia="zh-CN"/>
        </w:rPr>
        <w:t>对象</w:t>
      </w:r>
      <w:r>
        <w:rPr>
          <w:rFonts w:hint="eastAsia" w:ascii="仿宋" w:hAnsi="仿宋" w:eastAsia="仿宋" w:cs="仿宋"/>
          <w:i w:val="0"/>
          <w:caps w:val="0"/>
          <w:color w:val="auto"/>
          <w:spacing w:val="0"/>
          <w:sz w:val="32"/>
          <w:szCs w:val="32"/>
          <w:shd w:val="clear" w:fill="FFFFFF"/>
          <w:lang w:val="en-US" w:eastAsia="zh-CN"/>
        </w:rPr>
        <w:t>进农村文化礼堂、社区活动中心、学校等场所开展</w:t>
      </w:r>
      <w:r>
        <w:rPr>
          <w:rFonts w:hint="eastAsia" w:ascii="仿宋" w:hAnsi="仿宋" w:eastAsia="仿宋" w:cs="仿宋"/>
          <w:color w:val="auto"/>
          <w:sz w:val="32"/>
          <w:szCs w:val="32"/>
          <w:lang w:val="en-US" w:eastAsia="zh-CN"/>
        </w:rPr>
        <w:t>交流表演</w:t>
      </w:r>
      <w:r>
        <w:rPr>
          <w:rFonts w:hint="eastAsia" w:ascii="仿宋" w:hAnsi="仿宋" w:eastAsia="仿宋" w:cs="仿宋"/>
          <w:i w:val="0"/>
          <w:caps w:val="0"/>
          <w:color w:val="auto"/>
          <w:spacing w:val="0"/>
          <w:sz w:val="32"/>
          <w:szCs w:val="32"/>
          <w:shd w:val="clear" w:fill="FFFFFF"/>
          <w:lang w:val="en-US" w:eastAsia="zh-CN"/>
        </w:rPr>
        <w:t>。</w:t>
      </w:r>
    </w:p>
    <w:p>
      <w:pPr>
        <w:numPr>
          <w:ilvl w:val="0"/>
          <w:numId w:val="0"/>
        </w:numPr>
        <w:ind w:firstLine="640" w:firstLineChars="200"/>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（三）决选环节：由宁波市教育局组织开展全市决选，进行评审、公示、认定和表彰优秀对象。</w:t>
      </w:r>
      <w:r>
        <w:rPr>
          <w:rFonts w:hint="eastAsia" w:ascii="仿宋" w:hAnsi="仿宋" w:eastAsia="仿宋" w:cs="仿宋"/>
          <w:i w:val="0"/>
          <w:caps w:val="0"/>
          <w:color w:val="auto"/>
          <w:spacing w:val="0"/>
          <w:sz w:val="32"/>
          <w:szCs w:val="32"/>
          <w:shd w:val="clear" w:fill="FFFFFF"/>
          <w:lang w:val="en-US" w:eastAsia="zh-CN"/>
        </w:rPr>
        <w:t>期间，各区县（市）教育部门要组织参选对象下基层展演和开展网络投票活动。</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6"/>
        <w:gridCol w:w="4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6" w:type="dxa"/>
          </w:tcPr>
          <w:p>
            <w:pPr>
              <w:keepNext w:val="0"/>
              <w:keepLines w:val="0"/>
              <w:numPr>
                <w:ilvl w:val="0"/>
                <w:numId w:val="0"/>
              </w:numPr>
              <w:suppressLineNumbers w:val="0"/>
              <w:spacing w:before="0" w:beforeAutospacing="0" w:after="0" w:afterAutospacing="0"/>
              <w:ind w:left="0" w:right="0"/>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活动阶段</w:t>
            </w:r>
          </w:p>
        </w:tc>
        <w:tc>
          <w:tcPr>
            <w:tcW w:w="4206" w:type="dxa"/>
          </w:tcPr>
          <w:p>
            <w:pPr>
              <w:keepNext w:val="0"/>
              <w:keepLines w:val="0"/>
              <w:numPr>
                <w:ilvl w:val="0"/>
                <w:numId w:val="0"/>
              </w:numPr>
              <w:suppressLineNumbers w:val="0"/>
              <w:spacing w:before="0" w:beforeAutospacing="0" w:after="0" w:afterAutospacing="0"/>
              <w:ind w:left="0" w:right="0"/>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6" w:type="dxa"/>
          </w:tcPr>
          <w:p>
            <w:pPr>
              <w:keepNext w:val="0"/>
              <w:keepLines w:val="0"/>
              <w:numPr>
                <w:ilvl w:val="0"/>
                <w:numId w:val="0"/>
              </w:numPr>
              <w:suppressLineNumbers w:val="0"/>
              <w:spacing w:before="0" w:beforeAutospacing="0" w:after="0" w:afterAutospacing="0"/>
              <w:ind w:left="0" w:right="0"/>
              <w:rPr>
                <w:rFonts w:hint="default"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lang w:val="en-US" w:eastAsia="zh-CN"/>
              </w:rPr>
              <w:t>宣传动员、报名</w:t>
            </w:r>
          </w:p>
        </w:tc>
        <w:tc>
          <w:tcPr>
            <w:tcW w:w="4206" w:type="dxa"/>
          </w:tcPr>
          <w:p>
            <w:pPr>
              <w:keepNext w:val="0"/>
              <w:keepLines w:val="0"/>
              <w:numPr>
                <w:ilvl w:val="0"/>
                <w:numId w:val="0"/>
              </w:numPr>
              <w:suppressLineNumbers w:val="0"/>
              <w:spacing w:before="0" w:beforeAutospacing="0" w:after="0" w:afterAutospacing="0"/>
              <w:ind w:left="0" w:right="0"/>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lang w:val="en-US" w:eastAsia="zh-CN"/>
              </w:rPr>
              <w:t>6月1日</w:t>
            </w:r>
            <w:r>
              <w:rPr>
                <w:rFonts w:hint="eastAsia" w:ascii="仿宋" w:hAnsi="仿宋" w:eastAsia="仿宋" w:cs="仿宋"/>
                <w:sz w:val="30"/>
                <w:szCs w:val="30"/>
                <w:vertAlign w:val="baseline"/>
                <w:lang w:val="en-US" w:eastAsia="zh-CN"/>
              </w:rPr>
              <w:t>—</w:t>
            </w:r>
            <w:r>
              <w:rPr>
                <w:rFonts w:hint="eastAsia" w:ascii="仿宋" w:hAnsi="仿宋" w:eastAsia="仿宋" w:cs="仿宋"/>
                <w:sz w:val="30"/>
                <w:szCs w:val="30"/>
                <w:highlight w:val="none"/>
                <w:lang w:val="en-US" w:eastAsia="zh-CN"/>
              </w:rPr>
              <w:t>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6" w:type="dxa"/>
          </w:tcPr>
          <w:p>
            <w:pPr>
              <w:keepNext w:val="0"/>
              <w:keepLines w:val="0"/>
              <w:numPr>
                <w:ilvl w:val="0"/>
                <w:numId w:val="0"/>
              </w:numPr>
              <w:suppressLineNumbers w:val="0"/>
              <w:spacing w:before="0" w:beforeAutospacing="0" w:after="0" w:afterAutospacing="0"/>
              <w:ind w:left="0" w:right="0"/>
              <w:rPr>
                <w:rFonts w:hint="default" w:ascii="仿宋" w:hAnsi="仿宋" w:eastAsia="仿宋" w:cs="仿宋"/>
                <w:sz w:val="30"/>
                <w:szCs w:val="30"/>
                <w:vertAlign w:val="baseline"/>
                <w:lang w:val="en-US" w:eastAsia="zh-CN"/>
              </w:rPr>
            </w:pPr>
            <w:r>
              <w:rPr>
                <w:rFonts w:hint="eastAsia" w:ascii="仿宋" w:hAnsi="仿宋" w:eastAsia="仿宋" w:cs="仿宋"/>
                <w:color w:val="auto"/>
                <w:sz w:val="32"/>
                <w:szCs w:val="32"/>
                <w:lang w:val="en-US" w:eastAsia="zh-CN"/>
              </w:rPr>
              <w:t>基层展演、</w:t>
            </w:r>
            <w:r>
              <w:rPr>
                <w:rFonts w:hint="eastAsia" w:ascii="仿宋" w:hAnsi="仿宋" w:eastAsia="仿宋" w:cs="仿宋"/>
                <w:sz w:val="30"/>
                <w:szCs w:val="30"/>
                <w:vertAlign w:val="baseline"/>
                <w:lang w:val="en-US" w:eastAsia="zh-CN"/>
              </w:rPr>
              <w:t>初选</w:t>
            </w:r>
          </w:p>
        </w:tc>
        <w:tc>
          <w:tcPr>
            <w:tcW w:w="4206" w:type="dxa"/>
          </w:tcPr>
          <w:p>
            <w:pPr>
              <w:keepNext w:val="0"/>
              <w:keepLines w:val="0"/>
              <w:numPr>
                <w:ilvl w:val="0"/>
                <w:numId w:val="0"/>
              </w:numPr>
              <w:suppressLineNumbers w:val="0"/>
              <w:spacing w:before="0" w:beforeAutospacing="0" w:after="0" w:afterAutospacing="0"/>
              <w:ind w:left="0" w:right="0"/>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7月1日—8月24日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6" w:type="dxa"/>
          </w:tcPr>
          <w:p>
            <w:pPr>
              <w:keepNext w:val="0"/>
              <w:keepLines w:val="0"/>
              <w:numPr>
                <w:ilvl w:val="0"/>
                <w:numId w:val="0"/>
              </w:numPr>
              <w:suppressLineNumbers w:val="0"/>
              <w:spacing w:before="0" w:beforeAutospacing="0" w:after="0" w:afterAutospacing="0"/>
              <w:ind w:left="0" w:right="0"/>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初选结果评定、公示</w:t>
            </w:r>
          </w:p>
        </w:tc>
        <w:tc>
          <w:tcPr>
            <w:tcW w:w="4206" w:type="dxa"/>
          </w:tcPr>
          <w:p>
            <w:pPr>
              <w:keepNext w:val="0"/>
              <w:keepLines w:val="0"/>
              <w:numPr>
                <w:ilvl w:val="0"/>
                <w:numId w:val="0"/>
              </w:numPr>
              <w:suppressLineNumbers w:val="0"/>
              <w:spacing w:before="0" w:beforeAutospacing="0" w:after="0" w:afterAutospacing="0"/>
              <w:ind w:left="0" w:right="0"/>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8月25日—8月31日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6" w:type="dxa"/>
          </w:tcPr>
          <w:p>
            <w:pPr>
              <w:keepNext w:val="0"/>
              <w:keepLines w:val="0"/>
              <w:numPr>
                <w:ilvl w:val="0"/>
                <w:numId w:val="0"/>
              </w:numPr>
              <w:suppressLineNumbers w:val="0"/>
              <w:spacing w:before="0" w:beforeAutospacing="0" w:after="0" w:afterAutospacing="0"/>
              <w:ind w:left="0" w:right="0"/>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巡演展示、网络投票</w:t>
            </w:r>
          </w:p>
        </w:tc>
        <w:tc>
          <w:tcPr>
            <w:tcW w:w="4206" w:type="dxa"/>
          </w:tcPr>
          <w:p>
            <w:pPr>
              <w:keepNext w:val="0"/>
              <w:keepLines w:val="0"/>
              <w:numPr>
                <w:ilvl w:val="0"/>
                <w:numId w:val="0"/>
              </w:numPr>
              <w:suppressLineNumbers w:val="0"/>
              <w:spacing w:before="0" w:beforeAutospacing="0" w:after="0" w:afterAutospacing="0"/>
              <w:ind w:left="0" w:right="0"/>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9月1日—10月15日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6" w:type="dxa"/>
          </w:tcPr>
          <w:p>
            <w:pPr>
              <w:keepNext w:val="0"/>
              <w:keepLines w:val="0"/>
              <w:numPr>
                <w:ilvl w:val="0"/>
                <w:numId w:val="0"/>
              </w:numPr>
              <w:suppressLineNumbers w:val="0"/>
              <w:spacing w:before="0" w:beforeAutospacing="0" w:after="0" w:afterAutospacing="0"/>
              <w:ind w:left="0" w:right="0"/>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市决选评审</w:t>
            </w:r>
          </w:p>
        </w:tc>
        <w:tc>
          <w:tcPr>
            <w:tcW w:w="4206" w:type="dxa"/>
          </w:tcPr>
          <w:p>
            <w:pPr>
              <w:keepNext w:val="0"/>
              <w:keepLines w:val="0"/>
              <w:numPr>
                <w:ilvl w:val="0"/>
                <w:numId w:val="0"/>
              </w:numPr>
              <w:suppressLineNumbers w:val="0"/>
              <w:spacing w:before="0" w:beforeAutospacing="0" w:after="0" w:afterAutospacing="0"/>
              <w:ind w:left="0" w:right="0"/>
              <w:rPr>
                <w:rFonts w:hint="eastAsia" w:ascii="仿宋" w:hAnsi="仿宋" w:cs="仿宋" w:eastAsiaTheme="minorEastAsia"/>
                <w:sz w:val="30"/>
                <w:szCs w:val="30"/>
                <w:vertAlign w:val="baseline"/>
                <w:lang w:val="en-US" w:eastAsia="zh-CN"/>
              </w:rPr>
            </w:pPr>
            <w:r>
              <w:rPr>
                <w:rFonts w:hint="eastAsia" w:ascii="仿宋" w:hAnsi="仿宋" w:eastAsia="仿宋" w:cs="仿宋"/>
                <w:sz w:val="30"/>
                <w:szCs w:val="30"/>
                <w:vertAlign w:val="baseline"/>
                <w:lang w:val="en-US" w:eastAsia="zh-CN"/>
              </w:rPr>
              <w:t>10月16日左右</w:t>
            </w:r>
            <w:r>
              <w:rPr>
                <w:rFonts w:hint="eastAsia" w:ascii="仿宋" w:hAnsi="仿宋" w:eastAsia="仿宋" w:cs="仿宋"/>
                <w:b w:val="0"/>
                <w:bCs w:val="0"/>
                <w:sz w:val="30"/>
                <w:szCs w:val="30"/>
                <w:vertAlign w:val="baseline"/>
                <w:lang w:val="en-US" w:eastAsia="zh-CN"/>
              </w:rPr>
              <w:t>（</w:t>
            </w:r>
            <w:r>
              <w:rPr>
                <w:rFonts w:hint="eastAsia" w:ascii="仿宋" w:hAnsi="仿宋" w:eastAsia="仿宋" w:cs="仿宋"/>
                <w:b w:val="0"/>
                <w:bCs w:val="0"/>
                <w:sz w:val="30"/>
                <w:szCs w:val="30"/>
                <w:lang w:val="en-US" w:eastAsia="zh-CN"/>
              </w:rPr>
              <w:t>具体时间及相关事项另行通知）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6" w:type="dxa"/>
          </w:tcPr>
          <w:p>
            <w:pPr>
              <w:keepNext w:val="0"/>
              <w:keepLines w:val="0"/>
              <w:numPr>
                <w:ilvl w:val="0"/>
                <w:numId w:val="0"/>
              </w:numPr>
              <w:suppressLineNumbers w:val="0"/>
              <w:spacing w:before="0" w:beforeAutospacing="0" w:after="0" w:afterAutospacing="0"/>
              <w:ind w:left="0" w:right="0"/>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决选结果公示、确定</w:t>
            </w:r>
          </w:p>
        </w:tc>
        <w:tc>
          <w:tcPr>
            <w:tcW w:w="4206" w:type="dxa"/>
          </w:tcPr>
          <w:p>
            <w:pPr>
              <w:keepNext w:val="0"/>
              <w:keepLines w:val="0"/>
              <w:numPr>
                <w:ilvl w:val="0"/>
                <w:numId w:val="0"/>
              </w:numPr>
              <w:suppressLineNumbers w:val="0"/>
              <w:spacing w:before="0" w:beforeAutospacing="0" w:after="0" w:afterAutospacing="0"/>
              <w:ind w:left="0" w:right="0"/>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10月17日—10月23日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6" w:type="dxa"/>
          </w:tcPr>
          <w:p>
            <w:pPr>
              <w:keepNext w:val="0"/>
              <w:keepLines w:val="0"/>
              <w:numPr>
                <w:ilvl w:val="0"/>
                <w:numId w:val="0"/>
              </w:numPr>
              <w:suppressLineNumbers w:val="0"/>
              <w:spacing w:before="0" w:beforeAutospacing="0" w:after="0" w:afterAutospacing="0"/>
              <w:ind w:left="0" w:right="0"/>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学习活动周期间展演</w:t>
            </w:r>
          </w:p>
        </w:tc>
        <w:tc>
          <w:tcPr>
            <w:tcW w:w="4206" w:type="dxa"/>
          </w:tcPr>
          <w:p>
            <w:pPr>
              <w:keepNext w:val="0"/>
              <w:keepLines w:val="0"/>
              <w:numPr>
                <w:ilvl w:val="0"/>
                <w:numId w:val="0"/>
              </w:numPr>
              <w:suppressLineNumbers w:val="0"/>
              <w:spacing w:before="0" w:beforeAutospacing="0" w:after="0" w:afterAutospacing="0"/>
              <w:ind w:left="0" w:right="0"/>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10月底或11月初</w:t>
            </w:r>
          </w:p>
        </w:tc>
      </w:tr>
    </w:tbl>
    <w:p>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四、活动规则</w:t>
      </w:r>
    </w:p>
    <w:p>
      <w:pPr>
        <w:numPr>
          <w:ilvl w:val="0"/>
          <w:numId w:val="0"/>
        </w:numPr>
        <w:ind w:firstLine="600"/>
        <w:rPr>
          <w:rFonts w:hint="default"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（一）</w:t>
      </w:r>
      <w:r>
        <w:rPr>
          <w:rFonts w:hint="default" w:ascii="仿宋" w:hAnsi="仿宋" w:eastAsia="仿宋" w:cs="仿宋"/>
          <w:i w:val="0"/>
          <w:caps w:val="0"/>
          <w:color w:val="auto"/>
          <w:spacing w:val="0"/>
          <w:sz w:val="32"/>
          <w:szCs w:val="32"/>
          <w:shd w:val="clear" w:fill="FFFFFF"/>
          <w:lang w:val="en-US" w:eastAsia="zh-CN"/>
        </w:rPr>
        <w:t>报名规则</w:t>
      </w:r>
    </w:p>
    <w:p>
      <w:pPr>
        <w:numPr>
          <w:ilvl w:val="0"/>
          <w:numId w:val="0"/>
        </w:numPr>
        <w:ind w:firstLine="600"/>
        <w:rPr>
          <w:rFonts w:hint="default"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参选对象在</w:t>
      </w:r>
      <w:r>
        <w:rPr>
          <w:rFonts w:hint="eastAsia" w:ascii="仿宋" w:hAnsi="仿宋" w:eastAsia="仿宋" w:cs="仿宋"/>
          <w:sz w:val="30"/>
          <w:szCs w:val="30"/>
          <w:highlight w:val="none"/>
          <w:lang w:val="en-US" w:eastAsia="zh-CN"/>
        </w:rPr>
        <w:t>6月30日前</w:t>
      </w:r>
      <w:r>
        <w:rPr>
          <w:rFonts w:hint="default" w:ascii="仿宋" w:hAnsi="仿宋" w:eastAsia="仿宋" w:cs="仿宋"/>
          <w:i w:val="0"/>
          <w:caps w:val="0"/>
          <w:color w:val="auto"/>
          <w:spacing w:val="0"/>
          <w:sz w:val="32"/>
          <w:szCs w:val="32"/>
          <w:shd w:val="clear" w:fill="FFFFFF"/>
          <w:lang w:val="en-US" w:eastAsia="zh-CN"/>
        </w:rPr>
        <w:t>登录宁波</w:t>
      </w:r>
      <w:r>
        <w:rPr>
          <w:rFonts w:hint="eastAsia" w:ascii="仿宋" w:hAnsi="仿宋" w:eastAsia="仿宋" w:cs="仿宋"/>
          <w:i w:val="0"/>
          <w:caps w:val="0"/>
          <w:color w:val="auto"/>
          <w:spacing w:val="0"/>
          <w:sz w:val="32"/>
          <w:szCs w:val="32"/>
          <w:shd w:val="clear" w:fill="FFFFFF"/>
          <w:lang w:val="en-US" w:eastAsia="zh-CN"/>
        </w:rPr>
        <w:t>市</w:t>
      </w:r>
      <w:r>
        <w:rPr>
          <w:rFonts w:hint="default" w:ascii="仿宋" w:hAnsi="仿宋" w:eastAsia="仿宋" w:cs="仿宋"/>
          <w:i w:val="0"/>
          <w:caps w:val="0"/>
          <w:color w:val="auto"/>
          <w:spacing w:val="0"/>
          <w:sz w:val="32"/>
          <w:szCs w:val="32"/>
          <w:shd w:val="clear" w:fill="FFFFFF"/>
          <w:lang w:val="en-US" w:eastAsia="zh-CN"/>
        </w:rPr>
        <w:t>全民终身学习公共服务平台（http://www.nblll.cn）展演活动专栏</w:t>
      </w:r>
      <w:r>
        <w:rPr>
          <w:rFonts w:hint="eastAsia" w:ascii="仿宋" w:hAnsi="仿宋" w:eastAsia="仿宋" w:cs="仿宋"/>
          <w:i w:val="0"/>
          <w:caps w:val="0"/>
          <w:color w:val="auto"/>
          <w:spacing w:val="0"/>
          <w:sz w:val="32"/>
          <w:szCs w:val="32"/>
          <w:shd w:val="clear" w:fill="FFFFFF"/>
          <w:lang w:val="en-US" w:eastAsia="zh-CN"/>
        </w:rPr>
        <w:t>或</w:t>
      </w:r>
      <w:r>
        <w:rPr>
          <w:rFonts w:hint="default" w:ascii="仿宋" w:hAnsi="仿宋" w:eastAsia="仿宋" w:cs="仿宋"/>
          <w:i w:val="0"/>
          <w:caps w:val="0"/>
          <w:color w:val="auto"/>
          <w:spacing w:val="0"/>
          <w:sz w:val="32"/>
          <w:szCs w:val="32"/>
          <w:shd w:val="clear" w:fill="FFFFFF"/>
          <w:lang w:val="en-US" w:eastAsia="zh-CN"/>
        </w:rPr>
        <w:t>“尚学宁波”（微信公众号）</w:t>
      </w:r>
      <w:r>
        <w:rPr>
          <w:rFonts w:hint="eastAsia" w:ascii="仿宋" w:hAnsi="仿宋" w:eastAsia="仿宋" w:cs="仿宋"/>
          <w:i w:val="0"/>
          <w:caps w:val="0"/>
          <w:color w:val="auto"/>
          <w:spacing w:val="0"/>
          <w:sz w:val="32"/>
          <w:szCs w:val="32"/>
          <w:shd w:val="clear" w:fill="FFFFFF"/>
          <w:lang w:val="en-US" w:eastAsia="zh-CN"/>
        </w:rPr>
        <w:t>，</w:t>
      </w:r>
      <w:r>
        <w:rPr>
          <w:rFonts w:hint="default" w:ascii="仿宋" w:hAnsi="仿宋" w:eastAsia="仿宋" w:cs="仿宋"/>
          <w:i w:val="0"/>
          <w:caps w:val="0"/>
          <w:color w:val="auto"/>
          <w:spacing w:val="0"/>
          <w:sz w:val="32"/>
          <w:szCs w:val="32"/>
          <w:shd w:val="clear" w:fill="FFFFFF"/>
          <w:lang w:val="en-US" w:eastAsia="zh-CN"/>
        </w:rPr>
        <w:t>进行线上报名</w:t>
      </w:r>
      <w:r>
        <w:rPr>
          <w:rFonts w:hint="eastAsia" w:ascii="仿宋" w:hAnsi="仿宋" w:eastAsia="仿宋" w:cs="仿宋"/>
          <w:i w:val="0"/>
          <w:caps w:val="0"/>
          <w:color w:val="auto"/>
          <w:spacing w:val="0"/>
          <w:sz w:val="32"/>
          <w:szCs w:val="32"/>
          <w:shd w:val="clear" w:fill="FFFFFF"/>
          <w:lang w:val="en-US" w:eastAsia="zh-CN"/>
        </w:rPr>
        <w:t>并上传展演作品（作品要求见附件1）</w:t>
      </w:r>
      <w:r>
        <w:rPr>
          <w:rFonts w:hint="default" w:ascii="仿宋" w:hAnsi="仿宋" w:eastAsia="仿宋" w:cs="仿宋"/>
          <w:i w:val="0"/>
          <w:caps w:val="0"/>
          <w:color w:val="auto"/>
          <w:spacing w:val="0"/>
          <w:sz w:val="32"/>
          <w:szCs w:val="32"/>
          <w:shd w:val="clear" w:fill="FFFFFF"/>
          <w:lang w:val="en-US" w:eastAsia="zh-CN"/>
        </w:rPr>
        <w:t>。</w:t>
      </w:r>
    </w:p>
    <w:p>
      <w:pPr>
        <w:numPr>
          <w:ilvl w:val="0"/>
          <w:numId w:val="0"/>
        </w:numPr>
        <w:ind w:firstLine="600"/>
        <w:rPr>
          <w:rFonts w:hint="default" w:ascii="仿宋" w:hAnsi="仿宋" w:eastAsia="仿宋" w:cs="仿宋"/>
          <w:i w:val="0"/>
          <w:caps w:val="0"/>
          <w:color w:val="auto"/>
          <w:spacing w:val="0"/>
          <w:sz w:val="32"/>
          <w:szCs w:val="32"/>
          <w:shd w:val="clear" w:fill="FFFFFF"/>
          <w:lang w:val="en-US" w:eastAsia="zh-CN"/>
        </w:rPr>
      </w:pPr>
      <w:r>
        <w:rPr>
          <w:rFonts w:hint="default" w:ascii="仿宋" w:hAnsi="仿宋" w:eastAsia="仿宋" w:cs="仿宋"/>
          <w:i w:val="0"/>
          <w:caps w:val="0"/>
          <w:color w:val="auto"/>
          <w:spacing w:val="0"/>
          <w:sz w:val="32"/>
          <w:szCs w:val="32"/>
          <w:shd w:val="clear" w:fill="FFFFFF"/>
          <w:lang w:val="en-US" w:eastAsia="zh-CN"/>
        </w:rPr>
        <w:t>报名采取实名制，各</w:t>
      </w:r>
      <w:r>
        <w:rPr>
          <w:rFonts w:hint="eastAsia" w:ascii="仿宋" w:hAnsi="仿宋" w:eastAsia="仿宋" w:cs="仿宋"/>
          <w:i w:val="0"/>
          <w:caps w:val="0"/>
          <w:color w:val="auto"/>
          <w:spacing w:val="0"/>
          <w:sz w:val="32"/>
          <w:szCs w:val="32"/>
          <w:shd w:val="clear" w:fill="FFFFFF"/>
          <w:lang w:val="en-US" w:eastAsia="zh-CN"/>
        </w:rPr>
        <w:t>参选对象</w:t>
      </w:r>
      <w:r>
        <w:rPr>
          <w:rFonts w:hint="default" w:ascii="仿宋" w:hAnsi="仿宋" w:eastAsia="仿宋" w:cs="仿宋"/>
          <w:i w:val="0"/>
          <w:caps w:val="0"/>
          <w:color w:val="auto"/>
          <w:spacing w:val="0"/>
          <w:sz w:val="32"/>
          <w:szCs w:val="32"/>
          <w:shd w:val="clear" w:fill="FFFFFF"/>
          <w:lang w:val="en-US" w:eastAsia="zh-CN"/>
        </w:rPr>
        <w:t>只能参选一项展演内容，且只能选择一</w:t>
      </w:r>
      <w:r>
        <w:rPr>
          <w:rFonts w:hint="eastAsia" w:ascii="仿宋" w:hAnsi="仿宋" w:eastAsia="仿宋" w:cs="仿宋"/>
          <w:i w:val="0"/>
          <w:caps w:val="0"/>
          <w:color w:val="auto"/>
          <w:spacing w:val="0"/>
          <w:sz w:val="32"/>
          <w:szCs w:val="32"/>
          <w:shd w:val="clear" w:fill="FFFFFF"/>
          <w:lang w:val="en-US" w:eastAsia="zh-CN"/>
        </w:rPr>
        <w:t>所</w:t>
      </w:r>
      <w:r>
        <w:rPr>
          <w:rFonts w:hint="default" w:ascii="仿宋" w:hAnsi="仿宋" w:eastAsia="仿宋" w:cs="仿宋"/>
          <w:i w:val="0"/>
          <w:caps w:val="0"/>
          <w:color w:val="auto"/>
          <w:spacing w:val="0"/>
          <w:sz w:val="32"/>
          <w:szCs w:val="32"/>
          <w:shd w:val="clear" w:fill="FFFFFF"/>
          <w:lang w:val="en-US" w:eastAsia="zh-CN"/>
        </w:rPr>
        <w:t>成校（社区学院）作为推荐单位。报名人（团体）对</w:t>
      </w:r>
      <w:r>
        <w:rPr>
          <w:rFonts w:hint="eastAsia" w:ascii="仿宋" w:hAnsi="仿宋" w:eastAsia="仿宋" w:cs="仿宋"/>
          <w:i w:val="0"/>
          <w:caps w:val="0"/>
          <w:color w:val="auto"/>
          <w:spacing w:val="0"/>
          <w:sz w:val="32"/>
          <w:szCs w:val="32"/>
          <w:shd w:val="clear" w:fill="FFFFFF"/>
          <w:lang w:val="en-US" w:eastAsia="zh-CN"/>
        </w:rPr>
        <w:t>展演作品、</w:t>
      </w:r>
      <w:r>
        <w:rPr>
          <w:rFonts w:hint="default" w:ascii="仿宋" w:hAnsi="仿宋" w:eastAsia="仿宋" w:cs="仿宋"/>
          <w:i w:val="0"/>
          <w:caps w:val="0"/>
          <w:color w:val="auto"/>
          <w:spacing w:val="0"/>
          <w:sz w:val="32"/>
          <w:szCs w:val="32"/>
          <w:shd w:val="clear" w:fill="FFFFFF"/>
          <w:lang w:val="en-US" w:eastAsia="zh-CN"/>
        </w:rPr>
        <w:t>展演内容等涉及法律事宜负责。</w:t>
      </w:r>
    </w:p>
    <w:p>
      <w:pPr>
        <w:numPr>
          <w:ilvl w:val="0"/>
          <w:numId w:val="0"/>
        </w:numPr>
        <w:ind w:firstLine="600"/>
        <w:rPr>
          <w:rFonts w:hint="default"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（二）决选</w:t>
      </w:r>
      <w:r>
        <w:rPr>
          <w:rFonts w:hint="default" w:ascii="仿宋" w:hAnsi="仿宋" w:eastAsia="仿宋" w:cs="仿宋"/>
          <w:i w:val="0"/>
          <w:caps w:val="0"/>
          <w:color w:val="auto"/>
          <w:spacing w:val="0"/>
          <w:sz w:val="32"/>
          <w:szCs w:val="32"/>
          <w:shd w:val="clear" w:fill="FFFFFF"/>
          <w:lang w:val="en-US" w:eastAsia="zh-CN"/>
        </w:rPr>
        <w:t>规则</w:t>
      </w:r>
    </w:p>
    <w:p>
      <w:pPr>
        <w:numPr>
          <w:ilvl w:val="0"/>
          <w:numId w:val="0"/>
        </w:numPr>
        <w:ind w:firstLine="600"/>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1.评审团构成：决选评审团由中国成人教育协会、宁波市教育局、宁波社区大学和相关领域专家组成。</w:t>
      </w:r>
    </w:p>
    <w:p>
      <w:pPr>
        <w:numPr>
          <w:ilvl w:val="0"/>
          <w:numId w:val="0"/>
        </w:numPr>
        <w:ind w:firstLine="600"/>
        <w:rPr>
          <w:rFonts w:hint="default"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2.评分细则：参照</w:t>
      </w:r>
      <w:r>
        <w:rPr>
          <w:rFonts w:hint="default" w:ascii="仿宋" w:hAnsi="仿宋" w:eastAsia="仿宋" w:cs="仿宋"/>
          <w:i w:val="0"/>
          <w:caps w:val="0"/>
          <w:color w:val="auto"/>
          <w:spacing w:val="0"/>
          <w:sz w:val="32"/>
          <w:szCs w:val="32"/>
          <w:shd w:val="clear" w:fill="FFFFFF"/>
          <w:lang w:val="en-US" w:eastAsia="zh-CN"/>
        </w:rPr>
        <w:t>《</w:t>
      </w:r>
      <w:r>
        <w:rPr>
          <w:rFonts w:hint="eastAsia" w:ascii="仿宋" w:hAnsi="仿宋" w:eastAsia="仿宋" w:cs="仿宋"/>
          <w:i w:val="0"/>
          <w:caps w:val="0"/>
          <w:color w:val="auto"/>
          <w:spacing w:val="0"/>
          <w:sz w:val="32"/>
          <w:szCs w:val="32"/>
          <w:shd w:val="clear" w:fill="FFFFFF"/>
          <w:lang w:val="en-US" w:eastAsia="zh-CN"/>
        </w:rPr>
        <w:t>宁波市社区优秀</w:t>
      </w:r>
      <w:r>
        <w:rPr>
          <w:rFonts w:hint="default" w:ascii="仿宋" w:hAnsi="仿宋" w:eastAsia="仿宋" w:cs="仿宋"/>
          <w:i w:val="0"/>
          <w:caps w:val="0"/>
          <w:color w:val="auto"/>
          <w:spacing w:val="0"/>
          <w:sz w:val="32"/>
          <w:szCs w:val="32"/>
          <w:shd w:val="clear" w:fill="FFFFFF"/>
          <w:lang w:val="en-US" w:eastAsia="zh-CN"/>
        </w:rPr>
        <w:t>学习共同体</w:t>
      </w:r>
      <w:r>
        <w:rPr>
          <w:rFonts w:hint="eastAsia" w:ascii="仿宋" w:hAnsi="仿宋" w:eastAsia="仿宋" w:cs="仿宋"/>
          <w:i w:val="0"/>
          <w:caps w:val="0"/>
          <w:color w:val="auto"/>
          <w:spacing w:val="0"/>
          <w:sz w:val="32"/>
          <w:szCs w:val="32"/>
          <w:shd w:val="clear" w:fill="FFFFFF"/>
          <w:lang w:val="en-US" w:eastAsia="zh-CN"/>
        </w:rPr>
        <w:t>评选</w:t>
      </w:r>
      <w:r>
        <w:rPr>
          <w:rFonts w:hint="default" w:ascii="仿宋" w:hAnsi="仿宋" w:eastAsia="仿宋" w:cs="仿宋"/>
          <w:i w:val="0"/>
          <w:caps w:val="0"/>
          <w:color w:val="auto"/>
          <w:spacing w:val="0"/>
          <w:sz w:val="32"/>
          <w:szCs w:val="32"/>
          <w:shd w:val="clear" w:fill="FFFFFF"/>
          <w:lang w:val="en-US" w:eastAsia="zh-CN"/>
        </w:rPr>
        <w:t>标准》，结合</w:t>
      </w:r>
      <w:r>
        <w:rPr>
          <w:rFonts w:hint="eastAsia" w:ascii="仿宋" w:hAnsi="仿宋" w:eastAsia="仿宋" w:cs="仿宋"/>
          <w:i w:val="0"/>
          <w:caps w:val="0"/>
          <w:color w:val="auto"/>
          <w:spacing w:val="0"/>
          <w:sz w:val="32"/>
          <w:szCs w:val="32"/>
          <w:shd w:val="clear" w:fill="FFFFFF"/>
          <w:lang w:val="en-US" w:eastAsia="zh-CN"/>
        </w:rPr>
        <w:t>展演作品质量及</w:t>
      </w:r>
      <w:r>
        <w:rPr>
          <w:rFonts w:hint="default" w:ascii="仿宋" w:hAnsi="仿宋" w:eastAsia="仿宋" w:cs="仿宋"/>
          <w:i w:val="0"/>
          <w:caps w:val="0"/>
          <w:color w:val="auto"/>
          <w:spacing w:val="0"/>
          <w:sz w:val="32"/>
          <w:szCs w:val="32"/>
          <w:shd w:val="clear" w:fill="FFFFFF"/>
          <w:lang w:val="en-US" w:eastAsia="zh-CN"/>
        </w:rPr>
        <w:t>市民网</w:t>
      </w:r>
      <w:r>
        <w:rPr>
          <w:rFonts w:hint="eastAsia" w:ascii="仿宋" w:hAnsi="仿宋" w:eastAsia="仿宋" w:cs="仿宋"/>
          <w:i w:val="0"/>
          <w:caps w:val="0"/>
          <w:color w:val="auto"/>
          <w:spacing w:val="0"/>
          <w:sz w:val="32"/>
          <w:szCs w:val="32"/>
          <w:shd w:val="clear" w:fill="FFFFFF"/>
          <w:lang w:val="en-US" w:eastAsia="zh-CN"/>
        </w:rPr>
        <w:t>络</w:t>
      </w:r>
      <w:r>
        <w:rPr>
          <w:rFonts w:hint="default" w:ascii="仿宋" w:hAnsi="仿宋" w:eastAsia="仿宋" w:cs="仿宋"/>
          <w:i w:val="0"/>
          <w:caps w:val="0"/>
          <w:color w:val="auto"/>
          <w:spacing w:val="0"/>
          <w:sz w:val="32"/>
          <w:szCs w:val="32"/>
          <w:shd w:val="clear" w:fill="FFFFFF"/>
          <w:lang w:val="en-US" w:eastAsia="zh-CN"/>
        </w:rPr>
        <w:t>投票</w:t>
      </w:r>
      <w:r>
        <w:rPr>
          <w:rFonts w:hint="eastAsia" w:ascii="仿宋" w:hAnsi="仿宋" w:eastAsia="仿宋" w:cs="仿宋"/>
          <w:i w:val="0"/>
          <w:caps w:val="0"/>
          <w:color w:val="auto"/>
          <w:spacing w:val="0"/>
          <w:sz w:val="32"/>
          <w:szCs w:val="32"/>
          <w:shd w:val="clear" w:fill="FFFFFF"/>
          <w:lang w:val="en-US" w:eastAsia="zh-CN"/>
        </w:rPr>
        <w:t>情</w:t>
      </w:r>
      <w:r>
        <w:rPr>
          <w:rFonts w:hint="default" w:ascii="仿宋" w:hAnsi="仿宋" w:eastAsia="仿宋" w:cs="仿宋"/>
          <w:i w:val="0"/>
          <w:caps w:val="0"/>
          <w:color w:val="auto"/>
          <w:spacing w:val="0"/>
          <w:sz w:val="32"/>
          <w:szCs w:val="32"/>
          <w:shd w:val="clear" w:fill="FFFFFF"/>
          <w:lang w:val="en-US" w:eastAsia="zh-CN"/>
        </w:rPr>
        <w:t>况综合评定。</w:t>
      </w:r>
    </w:p>
    <w:p>
      <w:pPr>
        <w:numPr>
          <w:ilvl w:val="0"/>
          <w:numId w:val="0"/>
        </w:numPr>
        <w:ind w:firstLine="600"/>
        <w:rPr>
          <w:rFonts w:hint="default"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3.总分构成：</w:t>
      </w:r>
      <w:r>
        <w:rPr>
          <w:rFonts w:hint="default" w:ascii="仿宋" w:hAnsi="仿宋" w:eastAsia="仿宋" w:cs="仿宋"/>
          <w:i w:val="0"/>
          <w:caps w:val="0"/>
          <w:color w:val="auto"/>
          <w:spacing w:val="0"/>
          <w:sz w:val="32"/>
          <w:szCs w:val="32"/>
          <w:shd w:val="clear" w:fill="FFFFFF"/>
          <w:lang w:val="en-US" w:eastAsia="zh-CN"/>
        </w:rPr>
        <w:t>市民网</w:t>
      </w:r>
      <w:r>
        <w:rPr>
          <w:rFonts w:hint="eastAsia" w:ascii="仿宋" w:hAnsi="仿宋" w:eastAsia="仿宋" w:cs="仿宋"/>
          <w:i w:val="0"/>
          <w:caps w:val="0"/>
          <w:color w:val="auto"/>
          <w:spacing w:val="0"/>
          <w:sz w:val="32"/>
          <w:szCs w:val="32"/>
          <w:shd w:val="clear" w:fill="FFFFFF"/>
          <w:lang w:val="en-US" w:eastAsia="zh-CN"/>
        </w:rPr>
        <w:t>络</w:t>
      </w:r>
      <w:r>
        <w:rPr>
          <w:rFonts w:hint="default" w:ascii="仿宋" w:hAnsi="仿宋" w:eastAsia="仿宋" w:cs="仿宋"/>
          <w:i w:val="0"/>
          <w:caps w:val="0"/>
          <w:color w:val="auto"/>
          <w:spacing w:val="0"/>
          <w:sz w:val="32"/>
          <w:szCs w:val="32"/>
          <w:shd w:val="clear" w:fill="FFFFFF"/>
          <w:lang w:val="en-US" w:eastAsia="zh-CN"/>
        </w:rPr>
        <w:t>投票占比</w:t>
      </w:r>
      <w:r>
        <w:rPr>
          <w:rFonts w:hint="eastAsia" w:ascii="仿宋" w:hAnsi="仿宋" w:eastAsia="仿宋" w:cs="仿宋"/>
          <w:i w:val="0"/>
          <w:caps w:val="0"/>
          <w:color w:val="auto"/>
          <w:spacing w:val="0"/>
          <w:sz w:val="32"/>
          <w:szCs w:val="32"/>
          <w:shd w:val="clear" w:fill="FFFFFF"/>
          <w:lang w:val="en-US" w:eastAsia="zh-CN"/>
        </w:rPr>
        <w:t>4</w:t>
      </w:r>
      <w:r>
        <w:rPr>
          <w:rFonts w:hint="default" w:ascii="仿宋" w:hAnsi="仿宋" w:eastAsia="仿宋" w:cs="仿宋"/>
          <w:i w:val="0"/>
          <w:caps w:val="0"/>
          <w:color w:val="auto"/>
          <w:spacing w:val="0"/>
          <w:sz w:val="32"/>
          <w:szCs w:val="32"/>
          <w:shd w:val="clear" w:fill="FFFFFF"/>
          <w:lang w:val="en-US" w:eastAsia="zh-CN"/>
        </w:rPr>
        <w:t>0%（网络投票总分计算方式</w:t>
      </w:r>
      <w:r>
        <w:rPr>
          <w:rFonts w:hint="eastAsia" w:ascii="仿宋" w:hAnsi="仿宋" w:eastAsia="仿宋" w:cs="仿宋"/>
          <w:i w:val="0"/>
          <w:caps w:val="0"/>
          <w:color w:val="auto"/>
          <w:spacing w:val="0"/>
          <w:sz w:val="32"/>
          <w:szCs w:val="32"/>
          <w:shd w:val="clear" w:fill="FFFFFF"/>
          <w:lang w:val="en-US" w:eastAsia="zh-CN"/>
        </w:rPr>
        <w:t>：100%乘以实际票数除以</w:t>
      </w:r>
      <w:r>
        <w:rPr>
          <w:rFonts w:hint="default" w:ascii="仿宋" w:hAnsi="仿宋" w:eastAsia="仿宋" w:cs="仿宋"/>
          <w:i w:val="0"/>
          <w:caps w:val="0"/>
          <w:color w:val="auto"/>
          <w:spacing w:val="0"/>
          <w:sz w:val="32"/>
          <w:szCs w:val="32"/>
          <w:shd w:val="clear" w:fill="FFFFFF"/>
          <w:lang w:val="en-US" w:eastAsia="zh-CN"/>
        </w:rPr>
        <w:t>最高票</w:t>
      </w:r>
      <w:r>
        <w:rPr>
          <w:rFonts w:hint="eastAsia" w:ascii="仿宋" w:hAnsi="仿宋" w:eastAsia="仿宋" w:cs="仿宋"/>
          <w:i w:val="0"/>
          <w:caps w:val="0"/>
          <w:color w:val="auto"/>
          <w:spacing w:val="0"/>
          <w:sz w:val="32"/>
          <w:szCs w:val="32"/>
          <w:shd w:val="clear" w:fill="FFFFFF"/>
          <w:lang w:val="en-US" w:eastAsia="zh-CN"/>
        </w:rPr>
        <w:t>数</w:t>
      </w:r>
      <w:r>
        <w:rPr>
          <w:rFonts w:hint="default" w:ascii="仿宋" w:hAnsi="仿宋" w:eastAsia="仿宋" w:cs="仿宋"/>
          <w:i w:val="0"/>
          <w:caps w:val="0"/>
          <w:color w:val="auto"/>
          <w:spacing w:val="0"/>
          <w:sz w:val="32"/>
          <w:szCs w:val="32"/>
          <w:shd w:val="clear" w:fill="FFFFFF"/>
          <w:lang w:val="en-US" w:eastAsia="zh-CN"/>
        </w:rPr>
        <w:t>）</w:t>
      </w:r>
      <w:r>
        <w:rPr>
          <w:rFonts w:hint="eastAsia" w:ascii="仿宋" w:hAnsi="仿宋" w:eastAsia="仿宋" w:cs="仿宋"/>
          <w:i w:val="0"/>
          <w:caps w:val="0"/>
          <w:color w:val="auto"/>
          <w:spacing w:val="0"/>
          <w:sz w:val="32"/>
          <w:szCs w:val="32"/>
          <w:shd w:val="clear" w:fill="FFFFFF"/>
          <w:lang w:val="en-US" w:eastAsia="zh-CN"/>
        </w:rPr>
        <w:t>，</w:t>
      </w:r>
      <w:r>
        <w:rPr>
          <w:rFonts w:hint="default" w:ascii="仿宋" w:hAnsi="仿宋" w:eastAsia="仿宋" w:cs="仿宋"/>
          <w:i w:val="0"/>
          <w:caps w:val="0"/>
          <w:color w:val="auto"/>
          <w:spacing w:val="0"/>
          <w:sz w:val="32"/>
          <w:szCs w:val="32"/>
          <w:shd w:val="clear" w:fill="FFFFFF"/>
          <w:lang w:val="en-US" w:eastAsia="zh-CN"/>
        </w:rPr>
        <w:t>评审团评分占比</w:t>
      </w:r>
      <w:r>
        <w:rPr>
          <w:rFonts w:hint="eastAsia" w:ascii="仿宋" w:hAnsi="仿宋" w:eastAsia="仿宋" w:cs="仿宋"/>
          <w:i w:val="0"/>
          <w:caps w:val="0"/>
          <w:color w:val="auto"/>
          <w:spacing w:val="0"/>
          <w:sz w:val="32"/>
          <w:szCs w:val="32"/>
          <w:shd w:val="clear" w:fill="FFFFFF"/>
          <w:lang w:val="en-US" w:eastAsia="zh-CN"/>
        </w:rPr>
        <w:t>6</w:t>
      </w:r>
      <w:r>
        <w:rPr>
          <w:rFonts w:hint="default" w:ascii="仿宋" w:hAnsi="仿宋" w:eastAsia="仿宋" w:cs="仿宋"/>
          <w:i w:val="0"/>
          <w:caps w:val="0"/>
          <w:color w:val="auto"/>
          <w:spacing w:val="0"/>
          <w:sz w:val="32"/>
          <w:szCs w:val="32"/>
          <w:shd w:val="clear" w:fill="FFFFFF"/>
          <w:lang w:val="en-US" w:eastAsia="zh-CN"/>
        </w:rPr>
        <w:t>0%。</w:t>
      </w:r>
    </w:p>
    <w:p>
      <w:pPr>
        <w:numPr>
          <w:ilvl w:val="0"/>
          <w:numId w:val="0"/>
        </w:numPr>
        <w:ind w:firstLine="600"/>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（三）选报要求</w:t>
      </w:r>
    </w:p>
    <w:p>
      <w:pPr>
        <w:numPr>
          <w:ilvl w:val="0"/>
          <w:numId w:val="0"/>
        </w:numPr>
        <w:ind w:firstLine="600"/>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1.报名：每所成校在辖区内至少发动10个对象参加报名，其中静态、动态类分别不少于2个。</w:t>
      </w:r>
    </w:p>
    <w:p>
      <w:pPr>
        <w:numPr>
          <w:ilvl w:val="0"/>
          <w:numId w:val="0"/>
        </w:numPr>
        <w:ind w:firstLine="600"/>
        <w:rPr>
          <w:rFonts w:hint="default"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2.初选：各区县（市）择优选取学习共同体10个，功能区2个，在8月底前将初选结果（附件2）报送市教育局。其中，静态、动态类分别不少于2个。</w:t>
      </w:r>
    </w:p>
    <w:p>
      <w:pPr>
        <w:numPr>
          <w:ilvl w:val="0"/>
          <w:numId w:val="0"/>
        </w:numPr>
        <w:ind w:firstLine="600"/>
        <w:rPr>
          <w:rFonts w:hint="default"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4.奖项设置</w:t>
      </w:r>
    </w:p>
    <w:tbl>
      <w:tblPr>
        <w:tblStyle w:val="4"/>
        <w:tblW w:w="8513" w:type="dxa"/>
        <w:tblInd w:w="0" w:type="dxa"/>
        <w:shd w:val="clear" w:color="auto" w:fill="auto"/>
        <w:tblLayout w:type="fixed"/>
        <w:tblCellMar>
          <w:top w:w="0" w:type="dxa"/>
          <w:left w:w="0" w:type="dxa"/>
          <w:bottom w:w="0" w:type="dxa"/>
          <w:right w:w="0" w:type="dxa"/>
        </w:tblCellMar>
      </w:tblPr>
      <w:tblGrid>
        <w:gridCol w:w="1613"/>
        <w:gridCol w:w="2670"/>
        <w:gridCol w:w="1725"/>
        <w:gridCol w:w="2505"/>
      </w:tblGrid>
      <w:tr>
        <w:tblPrEx>
          <w:shd w:val="clear" w:color="auto" w:fill="auto"/>
          <w:tblCellMar>
            <w:top w:w="0" w:type="dxa"/>
            <w:left w:w="0" w:type="dxa"/>
            <w:bottom w:w="0" w:type="dxa"/>
            <w:right w:w="0" w:type="dxa"/>
          </w:tblCellMar>
        </w:tblPrEx>
        <w:trPr>
          <w:trHeight w:val="456" w:hRule="atLeast"/>
        </w:trPr>
        <w:tc>
          <w:tcPr>
            <w:tcW w:w="16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奖项类目</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获奖对象</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奖项数量（组)</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881" w:hRule="atLeast"/>
        </w:trPr>
        <w:tc>
          <w:tcPr>
            <w:tcW w:w="16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4"/>
                <w:szCs w:val="24"/>
                <w:u w:val="none"/>
              </w:rPr>
            </w:pPr>
            <w:r>
              <w:rPr>
                <w:rStyle w:val="9"/>
                <w:rFonts w:hint="eastAsia" w:ascii="仿宋" w:hAnsi="仿宋" w:eastAsia="仿宋" w:cs="仿宋"/>
                <w:b w:val="0"/>
                <w:bCs/>
                <w:sz w:val="24"/>
                <w:szCs w:val="24"/>
                <w:lang w:val="en-US" w:eastAsia="zh-CN" w:bidi="ar"/>
              </w:rPr>
              <w:t>优秀表现</w:t>
            </w:r>
            <w:r>
              <w:rPr>
                <w:rStyle w:val="10"/>
                <w:rFonts w:hint="eastAsia" w:ascii="仿宋" w:hAnsi="仿宋" w:eastAsia="仿宋" w:cs="仿宋"/>
                <w:sz w:val="24"/>
                <w:szCs w:val="24"/>
                <w:lang w:val="en-US" w:eastAsia="zh-CN" w:bidi="ar"/>
              </w:rPr>
              <w:t>团队</w:t>
            </w:r>
          </w:p>
        </w:tc>
        <w:tc>
          <w:tcPr>
            <w:tcW w:w="2670"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进入决选的团队</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进入决选即有奖</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进入决选的团队</w:t>
            </w:r>
          </w:p>
        </w:tc>
      </w:tr>
      <w:tr>
        <w:tblPrEx>
          <w:shd w:val="clear" w:color="auto" w:fill="auto"/>
          <w:tblCellMar>
            <w:top w:w="0" w:type="dxa"/>
            <w:left w:w="0" w:type="dxa"/>
            <w:bottom w:w="0" w:type="dxa"/>
            <w:right w:w="0" w:type="dxa"/>
          </w:tblCellMar>
        </w:tblPrEx>
        <w:trPr>
          <w:trHeight w:val="473" w:hRule="atLeast"/>
        </w:trPr>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Style w:val="10"/>
                <w:rFonts w:hint="eastAsia" w:ascii="仿宋" w:hAnsi="仿宋" w:eastAsia="仿宋" w:cs="仿宋"/>
                <w:sz w:val="24"/>
                <w:szCs w:val="24"/>
                <w:lang w:val="en-US" w:eastAsia="zh-CN" w:bidi="ar"/>
              </w:rPr>
            </w:pPr>
            <w:r>
              <w:rPr>
                <w:rStyle w:val="9"/>
                <w:rFonts w:hint="eastAsia" w:ascii="仿宋" w:hAnsi="仿宋" w:eastAsia="仿宋" w:cs="仿宋"/>
                <w:b w:val="0"/>
                <w:bCs/>
                <w:sz w:val="24"/>
                <w:szCs w:val="24"/>
                <w:lang w:val="en-US" w:eastAsia="zh-CN" w:bidi="ar"/>
              </w:rPr>
              <w:t>学习领军</w:t>
            </w:r>
            <w:r>
              <w:rPr>
                <w:rStyle w:val="10"/>
                <w:rFonts w:hint="eastAsia" w:ascii="仿宋" w:hAnsi="仿宋" w:eastAsia="仿宋" w:cs="仿宋"/>
                <w:sz w:val="24"/>
                <w:szCs w:val="24"/>
                <w:lang w:val="en-US" w:eastAsia="zh-CN" w:bidi="ar"/>
              </w:rPr>
              <w:t>团队</w:t>
            </w:r>
          </w:p>
          <w:p>
            <w:pPr>
              <w:keepNext w:val="0"/>
              <w:keepLines w:val="0"/>
              <w:widowControl/>
              <w:suppressLineNumbers w:val="0"/>
              <w:spacing w:before="0" w:beforeAutospacing="0" w:after="0" w:afterAutospacing="0"/>
              <w:ind w:left="0" w:right="0"/>
              <w:jc w:val="center"/>
              <w:textAlignment w:val="center"/>
              <w:rPr>
                <w:rStyle w:val="10"/>
                <w:rFonts w:hint="default" w:ascii="仿宋" w:hAnsi="仿宋" w:eastAsia="仿宋" w:cs="仿宋"/>
                <w:sz w:val="24"/>
                <w:szCs w:val="24"/>
                <w:lang w:val="en-US" w:eastAsia="zh-CN" w:bidi="ar"/>
              </w:rPr>
            </w:pPr>
            <w:r>
              <w:rPr>
                <w:rStyle w:val="10"/>
                <w:rFonts w:hint="eastAsia" w:ascii="仿宋" w:hAnsi="仿宋" w:eastAsia="仿宋" w:cs="仿宋"/>
                <w:sz w:val="24"/>
                <w:szCs w:val="24"/>
                <w:lang w:val="en-US" w:eastAsia="zh-CN" w:bidi="ar"/>
              </w:rPr>
              <w:t xml:space="preserve"> </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决选获奖的静态类团队</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决选总分分类列前10位</w:t>
            </w:r>
          </w:p>
        </w:tc>
      </w:tr>
      <w:tr>
        <w:tblPrEx>
          <w:shd w:val="clear" w:color="auto" w:fill="auto"/>
          <w:tblCellMar>
            <w:top w:w="0" w:type="dxa"/>
            <w:left w:w="0" w:type="dxa"/>
            <w:bottom w:w="0" w:type="dxa"/>
            <w:right w:w="0" w:type="dxa"/>
          </w:tblCellMar>
        </w:tblPrEx>
        <w:trPr>
          <w:trHeight w:val="473" w:hRule="atLeast"/>
        </w:trPr>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决选获奖的动态类团队</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12" w:hRule="atLeast"/>
        </w:trPr>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优秀组织单位</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区县（市）教育局、学校</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12" w:hRule="atLeast"/>
        </w:trPr>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2" w:hRule="atLeast"/>
        </w:trPr>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bl>
    <w:p>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五、工作要求</w:t>
      </w:r>
    </w:p>
    <w:p>
      <w:pPr>
        <w:numPr>
          <w:ilvl w:val="0"/>
          <w:numId w:val="0"/>
        </w:numPr>
        <w:ind w:firstLine="56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HYPERLINK "mailto:（一）加强组织领导。各地要高度重视，加强统筹协调，把展演活动纳入本地终身教育年度重点工作，与社区教育进农村文化礼堂、老年教育、家庭教育、未成年人教育等工作有机融合，形成具有区域特色的优秀团队、品牌项目。各地在6月5日前将联络员名单报送给市教育局终民处王老师，邮箱1446195304@qq.com。" </w:instrText>
      </w:r>
      <w:r>
        <w:rPr>
          <w:rFonts w:hint="eastAsia" w:ascii="仿宋" w:hAnsi="仿宋" w:eastAsia="仿宋" w:cs="仿宋"/>
          <w:color w:val="auto"/>
          <w:sz w:val="32"/>
          <w:szCs w:val="32"/>
          <w:lang w:val="en-US" w:eastAsia="zh-CN"/>
        </w:rPr>
        <w:fldChar w:fldCharType="separate"/>
      </w:r>
      <w:r>
        <w:rPr>
          <w:rFonts w:hint="eastAsia" w:ascii="仿宋" w:hAnsi="仿宋" w:eastAsia="仿宋" w:cs="仿宋"/>
          <w:color w:val="auto"/>
          <w:sz w:val="32"/>
          <w:szCs w:val="32"/>
          <w:lang w:val="en-US" w:eastAsia="zh-CN"/>
        </w:rPr>
        <w:t>（一）加强组织领导。各地要高度重视，加强统筹协调，把展演活动纳入本地终身教育年度重点工作，与社区教育进农村文化礼堂、老年教育、家庭教育、未成年人教育等工作有机融合，形成具有区域特色的优秀团队、品牌项目。各地在6月5日前将联络员名单报送给市教育局终民处王老师，邮箱1446195304@qq.com。</w:t>
      </w:r>
      <w:r>
        <w:rPr>
          <w:rFonts w:hint="eastAsia" w:ascii="仿宋" w:hAnsi="仿宋" w:eastAsia="仿宋" w:cs="仿宋"/>
          <w:color w:val="auto"/>
          <w:sz w:val="32"/>
          <w:szCs w:val="32"/>
          <w:lang w:val="en-US" w:eastAsia="zh-CN"/>
        </w:rPr>
        <w:fldChar w:fldCharType="end"/>
      </w:r>
    </w:p>
    <w:p>
      <w:pPr>
        <w:numPr>
          <w:ilvl w:val="0"/>
          <w:numId w:val="0"/>
        </w:numPr>
        <w:ind w:firstLine="56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广泛宣传动员。各地要及时部署，指导各学校（单位）充分了解活动的各项要求，督促各学校（单位）主动联系乡镇（街道）、农村文化礼堂（社区）等，通过发布信息、张贴海报、派发宣传资料等形式广泛开展宣传工作，同时鼓励各参选对象加强自我组织、自我宣传、自我服务。</w:t>
      </w:r>
    </w:p>
    <w:p>
      <w:pPr>
        <w:numPr>
          <w:ilvl w:val="0"/>
          <w:numId w:val="0"/>
        </w:numPr>
        <w:ind w:firstLine="56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精心组织实施。各地要根据《关于抓紧抓实抓细我市新冠肺炎疫情常态化防控工作的意见》（甬防〔2020〕30号）文件精神，在展演活动期间坚决筑牢防控安全屏障，落实各项防控措施，制定科学的组织实施方案，确保展演活动安全、有序、顺利实施。</w:t>
      </w:r>
    </w:p>
    <w:p>
      <w:pPr>
        <w:numPr>
          <w:ilvl w:val="0"/>
          <w:numId w:val="0"/>
        </w:numPr>
        <w:ind w:firstLine="56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积极营造氛围。各地要在参选对象开展交流学习期间，挖掘亮点，提炼典型，记录展演活动过程，收集学员心得体会，树立一批优秀学习典范。要充分利用各种宣传媒体，拓宽宣传展示渠道，营造全民参与、全民支持的学习氛围和舆论环境。</w:t>
      </w:r>
    </w:p>
    <w:p>
      <w:pPr>
        <w:numPr>
          <w:ilvl w:val="0"/>
          <w:numId w:val="0"/>
        </w:numPr>
        <w:ind w:firstLine="56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提供经费保障。各地要结合实际，为展演活动提供必要的经费保障，建立起政府补助、社会捐赠、参选对象合理分担等多渠道筹措经费的投入机制，鼓励社会力量通过经费资助、提供演出服饰和舞美道具等方式，积极支持、参与展演活动开展。</w:t>
      </w:r>
    </w:p>
    <w:p>
      <w:pPr>
        <w:numPr>
          <w:ilvl w:val="0"/>
          <w:numId w:val="0"/>
        </w:numPr>
        <w:ind w:firstLine="600"/>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活动咨询：0574-55716537  江老师；初选结果报送：huangyiting@enaea.edu.cn  黄老师。</w:t>
      </w:r>
    </w:p>
    <w:p>
      <w:pPr>
        <w:numPr>
          <w:ilvl w:val="0"/>
          <w:numId w:val="0"/>
        </w:numPr>
        <w:ind w:firstLine="600"/>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附件1：上传展演作品要求</w:t>
      </w:r>
    </w:p>
    <w:p>
      <w:pPr>
        <w:numPr>
          <w:ilvl w:val="0"/>
          <w:numId w:val="0"/>
        </w:numPr>
        <w:ind w:firstLine="600"/>
        <w:rPr>
          <w:rFonts w:hint="default"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附件2：初选结果报送表</w:t>
      </w:r>
    </w:p>
    <w:p>
      <w:pPr>
        <w:numPr>
          <w:ilvl w:val="0"/>
          <w:numId w:val="0"/>
        </w:numPr>
        <w:ind w:firstLine="5708" w:firstLineChars="1784"/>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 xml:space="preserve"> </w:t>
      </w:r>
    </w:p>
    <w:p>
      <w:pPr>
        <w:numPr>
          <w:ilvl w:val="0"/>
          <w:numId w:val="0"/>
        </w:numPr>
        <w:ind w:firstLine="5708" w:firstLineChars="1784"/>
        <w:rPr>
          <w:rFonts w:hint="eastAsia" w:ascii="仿宋" w:hAnsi="仿宋" w:eastAsia="仿宋" w:cs="仿宋"/>
          <w:i w:val="0"/>
          <w:caps w:val="0"/>
          <w:color w:val="auto"/>
          <w:spacing w:val="0"/>
          <w:sz w:val="32"/>
          <w:szCs w:val="32"/>
          <w:shd w:val="clear" w:fill="FFFFFF"/>
          <w:lang w:val="en-US" w:eastAsia="zh-CN"/>
        </w:rPr>
      </w:pPr>
    </w:p>
    <w:p>
      <w:pPr>
        <w:numPr>
          <w:ilvl w:val="0"/>
          <w:numId w:val="0"/>
        </w:numPr>
        <w:ind w:firstLine="5708" w:firstLineChars="1784"/>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宁波市教育局</w:t>
      </w:r>
    </w:p>
    <w:p>
      <w:pPr>
        <w:numPr>
          <w:ilvl w:val="0"/>
          <w:numId w:val="0"/>
        </w:numPr>
        <w:ind w:firstLine="600"/>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 xml:space="preserve">                               2020年5月27日</w:t>
      </w:r>
    </w:p>
    <w:p>
      <w:pPr>
        <w:numPr>
          <w:ilvl w:val="0"/>
          <w:numId w:val="0"/>
        </w:numPr>
        <w:rPr>
          <w:rFonts w:hint="eastAsia" w:ascii="仿宋" w:hAnsi="仿宋" w:eastAsia="仿宋" w:cs="仿宋"/>
          <w:sz w:val="30"/>
          <w:szCs w:val="30"/>
          <w:lang w:val="en-US" w:eastAsia="zh-CN"/>
        </w:rPr>
      </w:pPr>
    </w:p>
    <w:p>
      <w:pPr>
        <w:numPr>
          <w:ilvl w:val="0"/>
          <w:numId w:val="0"/>
        </w:numPr>
        <w:jc w:val="center"/>
        <w:rPr>
          <w:rFonts w:hint="eastAsia" w:ascii="仿宋" w:hAnsi="仿宋" w:eastAsia="仿宋" w:cs="仿宋"/>
          <w:b/>
          <w:bCs/>
          <w:sz w:val="32"/>
          <w:szCs w:val="32"/>
          <w:lang w:val="en-US" w:eastAsia="zh-CN"/>
        </w:rPr>
      </w:pPr>
    </w:p>
    <w:p>
      <w:pPr>
        <w:numPr>
          <w:ilvl w:val="0"/>
          <w:numId w:val="0"/>
        </w:numPr>
        <w:jc w:val="center"/>
        <w:rPr>
          <w:rFonts w:hint="eastAsia" w:ascii="仿宋" w:hAnsi="仿宋" w:eastAsia="仿宋" w:cs="仿宋"/>
          <w:b/>
          <w:bCs/>
          <w:sz w:val="32"/>
          <w:szCs w:val="32"/>
          <w:lang w:val="en-US" w:eastAsia="zh-CN"/>
        </w:rPr>
      </w:pPr>
    </w:p>
    <w:p>
      <w:pPr>
        <w:numPr>
          <w:ilvl w:val="0"/>
          <w:numId w:val="0"/>
        </w:numPr>
        <w:jc w:val="center"/>
        <w:rPr>
          <w:rFonts w:hint="eastAsia" w:ascii="仿宋" w:hAnsi="仿宋" w:eastAsia="仿宋" w:cs="仿宋"/>
          <w:b/>
          <w:bCs/>
          <w:sz w:val="32"/>
          <w:szCs w:val="32"/>
          <w:lang w:val="en-US" w:eastAsia="zh-CN"/>
        </w:rPr>
      </w:pPr>
    </w:p>
    <w:p>
      <w:pPr>
        <w:numPr>
          <w:ilvl w:val="0"/>
          <w:numId w:val="0"/>
        </w:numPr>
        <w:jc w:val="left"/>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ind w:firstLine="2530" w:firstLineChars="700"/>
        <w:jc w:val="left"/>
        <w:textAlignment w:val="auto"/>
        <w:outlineLvl w:val="9"/>
        <w:rPr>
          <w:rFonts w:hint="eastAsia" w:ascii="新宋体" w:hAnsi="新宋体" w:eastAsia="新宋体" w:cs="新宋体"/>
          <w:b/>
          <w:bCs/>
          <w:sz w:val="36"/>
          <w:szCs w:val="36"/>
          <w:lang w:val="en-US" w:eastAsia="zh-CN"/>
        </w:rPr>
      </w:pPr>
      <w:r>
        <w:rPr>
          <w:rFonts w:hint="eastAsia" w:ascii="新宋体" w:hAnsi="新宋体" w:eastAsia="新宋体" w:cs="新宋体"/>
          <w:b/>
          <w:bCs/>
          <w:sz w:val="36"/>
          <w:szCs w:val="36"/>
          <w:lang w:val="en-US" w:eastAsia="zh-CN"/>
        </w:rPr>
        <w:t>上传展演作品要求</w:t>
      </w:r>
    </w:p>
    <w:p>
      <w:pPr>
        <w:numPr>
          <w:ilvl w:val="0"/>
          <w:numId w:val="0"/>
        </w:numPr>
        <w:ind w:firstLine="3253" w:firstLineChars="900"/>
        <w:jc w:val="left"/>
        <w:rPr>
          <w:rFonts w:hint="eastAsia" w:ascii="新宋体" w:hAnsi="新宋体" w:eastAsia="新宋体" w:cs="新宋体"/>
          <w:b/>
          <w:bCs/>
          <w:sz w:val="36"/>
          <w:szCs w:val="36"/>
          <w:lang w:val="en-US" w:eastAsia="zh-CN"/>
        </w:rPr>
      </w:pPr>
    </w:p>
    <w:p>
      <w:pPr>
        <w:numPr>
          <w:ilvl w:val="0"/>
          <w:numId w:val="1"/>
        </w:numPr>
        <w:ind w:left="0" w:leftChars="0" w:firstLine="0" w:firstLineChars="0"/>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作品上传负责人</w:t>
      </w:r>
    </w:p>
    <w:p>
      <w:pPr>
        <w:numPr>
          <w:ilvl w:val="0"/>
          <w:numId w:val="0"/>
        </w:num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参选对象自主上传，成人学校（社区学院）协助。</w:t>
      </w:r>
    </w:p>
    <w:p>
      <w:pPr>
        <w:numPr>
          <w:ilvl w:val="0"/>
          <w:numId w:val="1"/>
        </w:numPr>
        <w:ind w:left="0" w:leftChars="0" w:firstLine="0" w:firstLine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作品要求</w:t>
      </w:r>
    </w:p>
    <w:p>
      <w:pPr>
        <w:numPr>
          <w:ilvl w:val="0"/>
          <w:numId w:val="0"/>
        </w:numPr>
        <w:ind w:leftChars="0"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作品时效性：在2019.6.30—2020.6.30期间创作、拍摄的作品。</w:t>
      </w:r>
    </w:p>
    <w:p>
      <w:pPr>
        <w:numPr>
          <w:ilvl w:val="0"/>
          <w:numId w:val="0"/>
        </w:num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作品表现场景：可结合当地特色人文景观、乡土风情、特色农副产品等，力求作品完整、美观。</w:t>
      </w:r>
    </w:p>
    <w:p>
      <w:pPr>
        <w:numPr>
          <w:ilvl w:val="0"/>
          <w:numId w:val="0"/>
        </w:numPr>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相关技术要求：详见下表。</w:t>
      </w:r>
    </w:p>
    <w:tbl>
      <w:tblPr>
        <w:tblStyle w:val="4"/>
        <w:tblW w:w="7835" w:type="dxa"/>
        <w:jc w:val="center"/>
        <w:shd w:val="clear" w:color="auto" w:fill="auto"/>
        <w:tblLayout w:type="fixed"/>
        <w:tblCellMar>
          <w:top w:w="0" w:type="dxa"/>
          <w:left w:w="0" w:type="dxa"/>
          <w:bottom w:w="0" w:type="dxa"/>
          <w:right w:w="0" w:type="dxa"/>
        </w:tblCellMar>
      </w:tblPr>
      <w:tblGrid>
        <w:gridCol w:w="1299"/>
        <w:gridCol w:w="1905"/>
        <w:gridCol w:w="4631"/>
      </w:tblGrid>
      <w:tr>
        <w:tblPrEx>
          <w:shd w:val="clear" w:color="auto" w:fill="auto"/>
          <w:tblCellMar>
            <w:top w:w="0" w:type="dxa"/>
            <w:left w:w="0" w:type="dxa"/>
            <w:bottom w:w="0" w:type="dxa"/>
            <w:right w:w="0" w:type="dxa"/>
          </w:tblCellMar>
        </w:tblPrEx>
        <w:trPr>
          <w:trHeight w:val="720" w:hRule="atLeast"/>
          <w:jc w:val="center"/>
        </w:trPr>
        <w:tc>
          <w:tcPr>
            <w:tcW w:w="1299"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i w:val="0"/>
                <w:color w:val="000000"/>
                <w:sz w:val="22"/>
                <w:szCs w:val="22"/>
                <w:u w:val="none"/>
                <w:lang w:val="en-US" w:eastAsia="zh-CN"/>
              </w:rPr>
            </w:pPr>
            <w:r>
              <w:rPr>
                <w:rFonts w:hint="eastAsia" w:ascii="仿宋" w:hAnsi="仿宋" w:eastAsia="仿宋" w:cs="仿宋"/>
                <w:b/>
                <w:i w:val="0"/>
                <w:color w:val="000000"/>
                <w:sz w:val="22"/>
                <w:szCs w:val="22"/>
                <w:u w:val="none"/>
                <w:lang w:val="en-US" w:eastAsia="zh-CN"/>
              </w:rPr>
              <w:t>名称</w:t>
            </w:r>
          </w:p>
        </w:tc>
        <w:tc>
          <w:tcPr>
            <w:tcW w:w="1905"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静态成果作品</w:t>
            </w:r>
          </w:p>
        </w:tc>
        <w:tc>
          <w:tcPr>
            <w:tcW w:w="4631"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动态成果作品</w:t>
            </w:r>
          </w:p>
        </w:tc>
      </w:tr>
      <w:tr>
        <w:tblPrEx>
          <w:shd w:val="clear" w:color="auto" w:fill="auto"/>
          <w:tblCellMar>
            <w:top w:w="0" w:type="dxa"/>
            <w:left w:w="0" w:type="dxa"/>
            <w:bottom w:w="0" w:type="dxa"/>
            <w:right w:w="0" w:type="dxa"/>
          </w:tblCellMar>
        </w:tblPrEx>
        <w:trPr>
          <w:trHeight w:val="980" w:hRule="atLeast"/>
          <w:jc w:val="center"/>
        </w:trPr>
        <w:tc>
          <w:tcPr>
            <w:tcW w:w="1299" w:type="dxa"/>
            <w:tcBorders>
              <w:top w:val="single" w:color="000000" w:sz="4" w:space="0"/>
              <w:left w:val="single" w:color="000000" w:sz="4" w:space="0"/>
              <w:bottom w:val="single" w:color="000000" w:sz="4" w:space="0"/>
              <w:right w:val="single" w:color="000000" w:sz="4" w:space="0"/>
            </w:tcBorders>
            <w:shd w:val="clear" w:color="auto" w:fill="BDD7EE"/>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作品规格</w:t>
            </w:r>
          </w:p>
        </w:tc>
        <w:tc>
          <w:tcPr>
            <w:tcW w:w="1905"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不超过3M。</w:t>
            </w:r>
          </w:p>
        </w:tc>
        <w:tc>
          <w:tcPr>
            <w:tcW w:w="46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不超过500M，时长不超过5分钟。</w:t>
            </w:r>
          </w:p>
        </w:tc>
      </w:tr>
      <w:tr>
        <w:tblPrEx>
          <w:tblCellMar>
            <w:top w:w="0" w:type="dxa"/>
            <w:left w:w="0" w:type="dxa"/>
            <w:bottom w:w="0" w:type="dxa"/>
            <w:right w:w="0" w:type="dxa"/>
          </w:tblCellMar>
        </w:tblPrEx>
        <w:trPr>
          <w:trHeight w:val="820" w:hRule="atLeast"/>
          <w:jc w:val="center"/>
        </w:trPr>
        <w:tc>
          <w:tcPr>
            <w:tcW w:w="1299" w:type="dxa"/>
            <w:tcBorders>
              <w:top w:val="single" w:color="000000" w:sz="4" w:space="0"/>
              <w:left w:val="single" w:color="000000" w:sz="4" w:space="0"/>
              <w:bottom w:val="single" w:color="000000" w:sz="4" w:space="0"/>
              <w:right w:val="single" w:color="000000" w:sz="4" w:space="0"/>
            </w:tcBorders>
            <w:shd w:val="clear" w:color="auto" w:fill="BDD7EE"/>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作品格式</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jpg、jpeg、png</w:t>
            </w:r>
          </w:p>
        </w:tc>
        <w:tc>
          <w:tcPr>
            <w:tcW w:w="46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avi、mp4、mov、wmv、rmvb</w:t>
            </w:r>
          </w:p>
        </w:tc>
      </w:tr>
      <w:tr>
        <w:tblPrEx>
          <w:tblCellMar>
            <w:top w:w="0" w:type="dxa"/>
            <w:left w:w="0" w:type="dxa"/>
            <w:bottom w:w="0" w:type="dxa"/>
            <w:right w:w="0" w:type="dxa"/>
          </w:tblCellMar>
        </w:tblPrEx>
        <w:trPr>
          <w:trHeight w:val="1135" w:hRule="atLeast"/>
          <w:jc w:val="center"/>
        </w:trPr>
        <w:tc>
          <w:tcPr>
            <w:tcW w:w="1299" w:type="dxa"/>
            <w:tcBorders>
              <w:top w:val="single" w:color="000000" w:sz="4" w:space="0"/>
              <w:left w:val="single" w:color="000000" w:sz="4" w:space="0"/>
              <w:bottom w:val="single" w:color="000000" w:sz="4" w:space="0"/>
              <w:right w:val="single" w:color="000000" w:sz="4" w:space="0"/>
            </w:tcBorders>
            <w:shd w:val="clear" w:color="auto" w:fill="BDD7EE"/>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封面图</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建议横图。</w:t>
            </w:r>
          </w:p>
        </w:tc>
        <w:tc>
          <w:tcPr>
            <w:tcW w:w="46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建议横屏；jpg/jpeg/png格式、大小不超过3M、分辨率大于356*200、宽度小于800像素。</w:t>
            </w:r>
          </w:p>
        </w:tc>
      </w:tr>
      <w:tr>
        <w:tblPrEx>
          <w:shd w:val="clear" w:color="auto" w:fill="auto"/>
          <w:tblCellMar>
            <w:top w:w="0" w:type="dxa"/>
            <w:left w:w="0" w:type="dxa"/>
            <w:bottom w:w="0" w:type="dxa"/>
            <w:right w:w="0" w:type="dxa"/>
          </w:tblCellMar>
        </w:tblPrEx>
        <w:trPr>
          <w:trHeight w:val="640" w:hRule="atLeast"/>
          <w:jc w:val="center"/>
        </w:trPr>
        <w:tc>
          <w:tcPr>
            <w:tcW w:w="1299" w:type="dxa"/>
            <w:tcBorders>
              <w:top w:val="single" w:color="000000" w:sz="4" w:space="0"/>
              <w:left w:val="single" w:color="000000" w:sz="4" w:space="0"/>
              <w:bottom w:val="single" w:color="000000" w:sz="4" w:space="0"/>
              <w:right w:val="single" w:color="000000" w:sz="4" w:space="0"/>
            </w:tcBorders>
            <w:shd w:val="clear" w:color="auto" w:fill="BDD7EE"/>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简介规格</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不超过100字。</w:t>
            </w:r>
          </w:p>
        </w:tc>
        <w:tc>
          <w:tcPr>
            <w:tcW w:w="46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不超过100字。</w:t>
            </w:r>
          </w:p>
        </w:tc>
      </w:tr>
    </w:tbl>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numPr>
          <w:ilvl w:val="0"/>
          <w:numId w:val="0"/>
        </w:numPr>
        <w:jc w:val="left"/>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ind w:firstLine="2530" w:firstLineChars="700"/>
        <w:jc w:val="left"/>
        <w:textAlignment w:val="auto"/>
        <w:outlineLvl w:val="9"/>
        <w:rPr>
          <w:rFonts w:hint="eastAsia" w:ascii="新宋体" w:hAnsi="新宋体" w:eastAsia="新宋体" w:cs="新宋体"/>
          <w:b/>
          <w:bCs/>
          <w:sz w:val="36"/>
          <w:szCs w:val="36"/>
          <w:lang w:val="en-US" w:eastAsia="zh-CN"/>
        </w:rPr>
      </w:pPr>
      <w:r>
        <w:rPr>
          <w:rFonts w:hint="eastAsia" w:ascii="新宋体" w:hAnsi="新宋体" w:eastAsia="新宋体" w:cs="新宋体"/>
          <w:b/>
          <w:bCs/>
          <w:sz w:val="36"/>
          <w:szCs w:val="36"/>
          <w:lang w:val="en-US" w:eastAsia="zh-CN"/>
        </w:rPr>
        <w:t>初选结果报送表</w:t>
      </w:r>
    </w:p>
    <w:p>
      <w:pPr>
        <w:numPr>
          <w:ilvl w:val="0"/>
          <w:numId w:val="0"/>
        </w:numPr>
        <w:jc w:val="center"/>
        <w:rPr>
          <w:rFonts w:hint="eastAsia" w:ascii="仿宋" w:hAnsi="仿宋" w:eastAsia="仿宋" w:cs="仿宋"/>
          <w:b/>
          <w:bCs/>
          <w:color w:val="auto"/>
          <w:sz w:val="30"/>
          <w:szCs w:val="30"/>
          <w:lang w:val="en-US" w:eastAsia="zh-CN"/>
        </w:rPr>
      </w:pPr>
    </w:p>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区县（市）教育局：</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515"/>
        <w:gridCol w:w="1200"/>
        <w:gridCol w:w="2145"/>
        <w:gridCol w:w="120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suppressLineNumbers w:val="0"/>
              <w:spacing w:before="0" w:beforeAutospacing="0" w:after="0" w:afterAutospacing="0" w:line="360" w:lineRule="auto"/>
              <w:ind w:left="0" w:right="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序号</w:t>
            </w:r>
          </w:p>
        </w:tc>
        <w:tc>
          <w:tcPr>
            <w:tcW w:w="1515" w:type="dxa"/>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学共体名称</w:t>
            </w:r>
          </w:p>
        </w:tc>
        <w:tc>
          <w:tcPr>
            <w:tcW w:w="1200" w:type="dxa"/>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展演类目</w:t>
            </w:r>
          </w:p>
        </w:tc>
        <w:tc>
          <w:tcPr>
            <w:tcW w:w="2145" w:type="dxa"/>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作品名称</w:t>
            </w:r>
          </w:p>
        </w:tc>
        <w:tc>
          <w:tcPr>
            <w:tcW w:w="1200" w:type="dxa"/>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初选总分</w:t>
            </w:r>
          </w:p>
        </w:tc>
        <w:tc>
          <w:tcPr>
            <w:tcW w:w="1754" w:type="dxa"/>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组织成校名称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151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214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754"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151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214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754"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151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214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754"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151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214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754"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c>
          <w:tcPr>
            <w:tcW w:w="151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214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754"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w:t>
            </w:r>
          </w:p>
        </w:tc>
        <w:tc>
          <w:tcPr>
            <w:tcW w:w="151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214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754"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w:t>
            </w:r>
          </w:p>
        </w:tc>
        <w:tc>
          <w:tcPr>
            <w:tcW w:w="151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214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754"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8</w:t>
            </w:r>
          </w:p>
        </w:tc>
        <w:tc>
          <w:tcPr>
            <w:tcW w:w="151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214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754"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9</w:t>
            </w:r>
          </w:p>
        </w:tc>
        <w:tc>
          <w:tcPr>
            <w:tcW w:w="151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214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754"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151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2145"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200"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c>
          <w:tcPr>
            <w:tcW w:w="1754" w:type="dxa"/>
          </w:tcPr>
          <w:p>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vertAlign w:val="baseline"/>
                <w:lang w:val="en-US" w:eastAsia="zh-CN"/>
              </w:rPr>
            </w:pPr>
          </w:p>
        </w:tc>
      </w:tr>
    </w:tbl>
    <w:p>
      <w:pPr>
        <w:numPr>
          <w:ilvl w:val="0"/>
          <w:numId w:val="0"/>
        </w:numPr>
        <w:jc w:val="center"/>
        <w:rPr>
          <w:rFonts w:hint="eastAsia" w:ascii="仿宋" w:hAnsi="仿宋" w:eastAsia="仿宋" w:cs="仿宋"/>
          <w:b/>
          <w:bCs/>
          <w:color w:val="auto"/>
          <w:sz w:val="30"/>
          <w:szCs w:val="30"/>
          <w:lang w:val="en-US" w:eastAsia="zh-CN"/>
        </w:rPr>
      </w:pPr>
    </w:p>
    <w:p>
      <w:pPr>
        <w:numPr>
          <w:ilvl w:val="0"/>
          <w:numId w:val="0"/>
        </w:numPr>
        <w:jc w:val="center"/>
        <w:rPr>
          <w:rFonts w:hint="eastAsia" w:ascii="仿宋" w:hAnsi="仿宋" w:eastAsia="仿宋" w:cs="仿宋"/>
          <w:b/>
          <w:bCs/>
          <w:color w:val="auto"/>
          <w:sz w:val="30"/>
          <w:szCs w:val="30"/>
          <w:lang w:val="en-US" w:eastAsia="zh-CN"/>
        </w:rPr>
      </w:pPr>
    </w:p>
    <w:p>
      <w:pPr>
        <w:numPr>
          <w:ilvl w:val="0"/>
          <w:numId w:val="0"/>
        </w:numPr>
        <w:jc w:val="center"/>
        <w:rPr>
          <w:rFonts w:hint="eastAsia" w:ascii="仿宋" w:hAnsi="仿宋" w:eastAsia="仿宋" w:cs="仿宋"/>
          <w:b/>
          <w:bCs/>
          <w:color w:val="auto"/>
          <w:sz w:val="30"/>
          <w:szCs w:val="30"/>
          <w:lang w:val="en-US" w:eastAsia="zh-CN"/>
        </w:rPr>
      </w:pPr>
    </w:p>
    <w:p>
      <w:pPr>
        <w:numPr>
          <w:ilvl w:val="0"/>
          <w:numId w:val="0"/>
        </w:numPr>
        <w:jc w:val="center"/>
        <w:rPr>
          <w:rFonts w:hint="eastAsia" w:ascii="仿宋" w:hAnsi="仿宋" w:eastAsia="仿宋" w:cs="仿宋"/>
          <w:b/>
          <w:bCs/>
          <w:color w:val="auto"/>
          <w:sz w:val="30"/>
          <w:szCs w:val="30"/>
          <w:lang w:val="en-US" w:eastAsia="zh-CN"/>
        </w:rPr>
      </w:pPr>
    </w:p>
    <w:p>
      <w:pPr>
        <w:numPr>
          <w:ilvl w:val="0"/>
          <w:numId w:val="0"/>
        </w:numPr>
        <w:jc w:val="center"/>
        <w:rPr>
          <w:rFonts w:hint="eastAsia" w:ascii="仿宋" w:hAnsi="仿宋" w:eastAsia="仿宋" w:cs="仿宋"/>
          <w:b/>
          <w:bCs/>
          <w:color w:val="auto"/>
          <w:sz w:val="30"/>
          <w:szCs w:val="30"/>
          <w:lang w:val="en-US" w:eastAsia="zh-CN"/>
        </w:rPr>
      </w:pPr>
    </w:p>
    <w:p>
      <w:pPr>
        <w:numPr>
          <w:ilvl w:val="0"/>
          <w:numId w:val="0"/>
        </w:numPr>
        <w:jc w:val="center"/>
        <w:rPr>
          <w:rFonts w:hint="eastAsia" w:ascii="仿宋" w:hAnsi="仿宋" w:eastAsia="仿宋" w:cs="仿宋"/>
          <w:b/>
          <w:bCs/>
          <w:color w:val="auto"/>
          <w:sz w:val="30"/>
          <w:szCs w:val="30"/>
          <w:lang w:val="en-US" w:eastAsia="zh-CN"/>
        </w:rPr>
      </w:pPr>
    </w:p>
    <w:p>
      <w:pPr>
        <w:numPr>
          <w:ilvl w:val="0"/>
          <w:numId w:val="0"/>
        </w:numPr>
        <w:jc w:val="center"/>
        <w:rPr>
          <w:rFonts w:hint="eastAsia" w:ascii="仿宋" w:hAnsi="仿宋" w:eastAsia="仿宋" w:cs="仿宋"/>
          <w:b/>
          <w:bCs/>
          <w:color w:val="auto"/>
          <w:sz w:val="30"/>
          <w:szCs w:val="30"/>
          <w:lang w:val="en-US" w:eastAsia="zh-CN"/>
        </w:rPr>
      </w:pPr>
    </w:p>
    <w:p>
      <w:pPr>
        <w:numPr>
          <w:ilvl w:val="0"/>
          <w:numId w:val="0"/>
        </w:numPr>
        <w:jc w:val="center"/>
        <w:rPr>
          <w:rFonts w:hint="eastAsia" w:ascii="仿宋" w:hAnsi="仿宋" w:eastAsia="仿宋" w:cs="仿宋"/>
          <w:b/>
          <w:bCs/>
          <w:color w:val="auto"/>
          <w:sz w:val="30"/>
          <w:szCs w:val="30"/>
          <w:lang w:val="en-US" w:eastAsia="zh-CN"/>
        </w:rPr>
      </w:pPr>
    </w:p>
    <w:p>
      <w:pPr>
        <w:numPr>
          <w:ilvl w:val="0"/>
          <w:numId w:val="0"/>
        </w:numPr>
        <w:jc w:val="center"/>
        <w:rPr>
          <w:rFonts w:hint="eastAsia" w:ascii="仿宋" w:hAnsi="仿宋" w:eastAsia="仿宋" w:cs="仿宋"/>
          <w:b/>
          <w:bCs/>
          <w:color w:val="auto"/>
          <w:sz w:val="30"/>
          <w:szCs w:val="30"/>
          <w:lang w:val="en-US" w:eastAsia="zh-CN"/>
        </w:rPr>
      </w:pPr>
    </w:p>
    <w:p>
      <w:pPr>
        <w:numPr>
          <w:ilvl w:val="0"/>
          <w:numId w:val="0"/>
        </w:numPr>
        <w:jc w:val="both"/>
        <w:rPr>
          <w:rFonts w:hint="eastAsia" w:ascii="仿宋" w:hAnsi="仿宋" w:eastAsia="仿宋" w:cs="仿宋"/>
          <w:b/>
          <w:bCs/>
          <w:color w:val="auto"/>
          <w:sz w:val="30"/>
          <w:szCs w:val="3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YaHei-Bold">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67839"/>
    <w:multiLevelType w:val="singleLevel"/>
    <w:tmpl w:val="21B6783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05553"/>
    <w:rsid w:val="009F2B04"/>
    <w:rsid w:val="00E00006"/>
    <w:rsid w:val="010C4504"/>
    <w:rsid w:val="0136362C"/>
    <w:rsid w:val="01C51045"/>
    <w:rsid w:val="024258CB"/>
    <w:rsid w:val="02BE5DEC"/>
    <w:rsid w:val="02F7695D"/>
    <w:rsid w:val="03555655"/>
    <w:rsid w:val="03A009CE"/>
    <w:rsid w:val="03E8576F"/>
    <w:rsid w:val="03EF3D92"/>
    <w:rsid w:val="049B36C2"/>
    <w:rsid w:val="052818E3"/>
    <w:rsid w:val="058A72A2"/>
    <w:rsid w:val="063F5D46"/>
    <w:rsid w:val="07F3302A"/>
    <w:rsid w:val="09040AA8"/>
    <w:rsid w:val="09051168"/>
    <w:rsid w:val="09E15B1A"/>
    <w:rsid w:val="0A673DA8"/>
    <w:rsid w:val="0A7244C6"/>
    <w:rsid w:val="0A7D06C9"/>
    <w:rsid w:val="0A861818"/>
    <w:rsid w:val="0A862741"/>
    <w:rsid w:val="0A9024E6"/>
    <w:rsid w:val="0A9310A5"/>
    <w:rsid w:val="0ADA7C95"/>
    <w:rsid w:val="0B4803BE"/>
    <w:rsid w:val="0B592068"/>
    <w:rsid w:val="0B790757"/>
    <w:rsid w:val="0CD81281"/>
    <w:rsid w:val="0D8A377E"/>
    <w:rsid w:val="0E7258E3"/>
    <w:rsid w:val="10217A2F"/>
    <w:rsid w:val="10651C45"/>
    <w:rsid w:val="10DB1C32"/>
    <w:rsid w:val="11013B14"/>
    <w:rsid w:val="11B24602"/>
    <w:rsid w:val="1268649E"/>
    <w:rsid w:val="12CD22BC"/>
    <w:rsid w:val="13134A98"/>
    <w:rsid w:val="132B2581"/>
    <w:rsid w:val="14D9790A"/>
    <w:rsid w:val="14ED2B2F"/>
    <w:rsid w:val="15476E9F"/>
    <w:rsid w:val="161F3ED4"/>
    <w:rsid w:val="16AC3BAB"/>
    <w:rsid w:val="17286264"/>
    <w:rsid w:val="173548D5"/>
    <w:rsid w:val="179C4CD5"/>
    <w:rsid w:val="17E87650"/>
    <w:rsid w:val="180C3AA1"/>
    <w:rsid w:val="18A92303"/>
    <w:rsid w:val="193C5E82"/>
    <w:rsid w:val="195A1A38"/>
    <w:rsid w:val="19C25ED5"/>
    <w:rsid w:val="19F87052"/>
    <w:rsid w:val="1A19720A"/>
    <w:rsid w:val="1A356BA4"/>
    <w:rsid w:val="1A732CD7"/>
    <w:rsid w:val="1A791980"/>
    <w:rsid w:val="1AAD7978"/>
    <w:rsid w:val="1AB622FA"/>
    <w:rsid w:val="1B8E134E"/>
    <w:rsid w:val="1CD33A4F"/>
    <w:rsid w:val="1D021559"/>
    <w:rsid w:val="1D1A610F"/>
    <w:rsid w:val="1F0C075E"/>
    <w:rsid w:val="20247E1C"/>
    <w:rsid w:val="20A93C8E"/>
    <w:rsid w:val="20C06533"/>
    <w:rsid w:val="21077720"/>
    <w:rsid w:val="216D283D"/>
    <w:rsid w:val="21EE229F"/>
    <w:rsid w:val="21FF5461"/>
    <w:rsid w:val="22806AFD"/>
    <w:rsid w:val="22850C2D"/>
    <w:rsid w:val="24285C6C"/>
    <w:rsid w:val="252D60F9"/>
    <w:rsid w:val="254B1785"/>
    <w:rsid w:val="25C819DA"/>
    <w:rsid w:val="26633ACB"/>
    <w:rsid w:val="26E87E51"/>
    <w:rsid w:val="27AB2A1D"/>
    <w:rsid w:val="27AD41FE"/>
    <w:rsid w:val="27CC4BBC"/>
    <w:rsid w:val="28455B05"/>
    <w:rsid w:val="293508C5"/>
    <w:rsid w:val="29AA082B"/>
    <w:rsid w:val="2A1A6EC9"/>
    <w:rsid w:val="2A4E2493"/>
    <w:rsid w:val="2AEB1C9D"/>
    <w:rsid w:val="2CA27B1C"/>
    <w:rsid w:val="2D8D2BD1"/>
    <w:rsid w:val="2DDE528B"/>
    <w:rsid w:val="2E772B63"/>
    <w:rsid w:val="306805F7"/>
    <w:rsid w:val="30E24E1C"/>
    <w:rsid w:val="30EE106A"/>
    <w:rsid w:val="318D6DAE"/>
    <w:rsid w:val="31EFD329"/>
    <w:rsid w:val="33331A82"/>
    <w:rsid w:val="33824C18"/>
    <w:rsid w:val="339F217E"/>
    <w:rsid w:val="35310A19"/>
    <w:rsid w:val="370F4E9D"/>
    <w:rsid w:val="375B096B"/>
    <w:rsid w:val="37E251A9"/>
    <w:rsid w:val="382F6488"/>
    <w:rsid w:val="38534C0F"/>
    <w:rsid w:val="390C1ED9"/>
    <w:rsid w:val="3AB2487C"/>
    <w:rsid w:val="3B9C6A4C"/>
    <w:rsid w:val="3BCE657D"/>
    <w:rsid w:val="3C5A4F84"/>
    <w:rsid w:val="3C6C46A8"/>
    <w:rsid w:val="3D155359"/>
    <w:rsid w:val="3D831769"/>
    <w:rsid w:val="3E3735AB"/>
    <w:rsid w:val="3E605B5F"/>
    <w:rsid w:val="3E6D2025"/>
    <w:rsid w:val="3E793A45"/>
    <w:rsid w:val="3E9555BE"/>
    <w:rsid w:val="3F275918"/>
    <w:rsid w:val="3F9D5567"/>
    <w:rsid w:val="40CD79BB"/>
    <w:rsid w:val="40EE4374"/>
    <w:rsid w:val="41127852"/>
    <w:rsid w:val="41772434"/>
    <w:rsid w:val="41876494"/>
    <w:rsid w:val="41A237B3"/>
    <w:rsid w:val="41A250F5"/>
    <w:rsid w:val="4243595D"/>
    <w:rsid w:val="425F48B6"/>
    <w:rsid w:val="4313573B"/>
    <w:rsid w:val="43364B8F"/>
    <w:rsid w:val="43785CB2"/>
    <w:rsid w:val="44047BB9"/>
    <w:rsid w:val="447E2C42"/>
    <w:rsid w:val="455A30B4"/>
    <w:rsid w:val="46181A39"/>
    <w:rsid w:val="463F07B6"/>
    <w:rsid w:val="47DA4FAF"/>
    <w:rsid w:val="48093EE9"/>
    <w:rsid w:val="4897427F"/>
    <w:rsid w:val="48E561D7"/>
    <w:rsid w:val="49635C6B"/>
    <w:rsid w:val="497F3801"/>
    <w:rsid w:val="4A3F1412"/>
    <w:rsid w:val="4A3F3B82"/>
    <w:rsid w:val="4B4733F9"/>
    <w:rsid w:val="4B4F5471"/>
    <w:rsid w:val="4B537E09"/>
    <w:rsid w:val="4B587A9B"/>
    <w:rsid w:val="4E072D13"/>
    <w:rsid w:val="4E314989"/>
    <w:rsid w:val="4EFE0FC2"/>
    <w:rsid w:val="4F024CCE"/>
    <w:rsid w:val="4F2E783A"/>
    <w:rsid w:val="4FB933D4"/>
    <w:rsid w:val="504B3BF1"/>
    <w:rsid w:val="50E50D09"/>
    <w:rsid w:val="51253DCB"/>
    <w:rsid w:val="5137063D"/>
    <w:rsid w:val="513F0308"/>
    <w:rsid w:val="51A05DAE"/>
    <w:rsid w:val="52682CC8"/>
    <w:rsid w:val="53354FFB"/>
    <w:rsid w:val="5339350D"/>
    <w:rsid w:val="537F14FC"/>
    <w:rsid w:val="538D74ED"/>
    <w:rsid w:val="54591AC6"/>
    <w:rsid w:val="548E4F9F"/>
    <w:rsid w:val="557609BD"/>
    <w:rsid w:val="55D63AFB"/>
    <w:rsid w:val="569A423C"/>
    <w:rsid w:val="59B83601"/>
    <w:rsid w:val="5B4F47F9"/>
    <w:rsid w:val="5BC1649C"/>
    <w:rsid w:val="5D4542E3"/>
    <w:rsid w:val="5D545DD9"/>
    <w:rsid w:val="5E031003"/>
    <w:rsid w:val="5E221952"/>
    <w:rsid w:val="5EF82ECE"/>
    <w:rsid w:val="5F201561"/>
    <w:rsid w:val="5F45732B"/>
    <w:rsid w:val="5F6E7C7B"/>
    <w:rsid w:val="5FD96472"/>
    <w:rsid w:val="61151F2C"/>
    <w:rsid w:val="61681DBB"/>
    <w:rsid w:val="616D5936"/>
    <w:rsid w:val="626061DE"/>
    <w:rsid w:val="62891FEB"/>
    <w:rsid w:val="629F5DA5"/>
    <w:rsid w:val="62F5332F"/>
    <w:rsid w:val="63934CB2"/>
    <w:rsid w:val="63F63F44"/>
    <w:rsid w:val="64A12CA2"/>
    <w:rsid w:val="650F5AE6"/>
    <w:rsid w:val="6584471A"/>
    <w:rsid w:val="66537710"/>
    <w:rsid w:val="669D7B2E"/>
    <w:rsid w:val="67E6ECFB"/>
    <w:rsid w:val="68154615"/>
    <w:rsid w:val="6BA86B2D"/>
    <w:rsid w:val="6CCE6215"/>
    <w:rsid w:val="6D2C3054"/>
    <w:rsid w:val="6DEE8C68"/>
    <w:rsid w:val="6E140E1F"/>
    <w:rsid w:val="6E2033CF"/>
    <w:rsid w:val="6EEC158E"/>
    <w:rsid w:val="6F254DD0"/>
    <w:rsid w:val="6F512F09"/>
    <w:rsid w:val="6FB30A10"/>
    <w:rsid w:val="6FDD7DCE"/>
    <w:rsid w:val="6FF25F25"/>
    <w:rsid w:val="700803F3"/>
    <w:rsid w:val="70BC3683"/>
    <w:rsid w:val="7141387D"/>
    <w:rsid w:val="715848D6"/>
    <w:rsid w:val="71F37D63"/>
    <w:rsid w:val="72C05553"/>
    <w:rsid w:val="737641B4"/>
    <w:rsid w:val="739366A6"/>
    <w:rsid w:val="746A6F6C"/>
    <w:rsid w:val="753658A2"/>
    <w:rsid w:val="767F31EF"/>
    <w:rsid w:val="772E25E5"/>
    <w:rsid w:val="775665D8"/>
    <w:rsid w:val="778D4127"/>
    <w:rsid w:val="7843162C"/>
    <w:rsid w:val="78E12A4D"/>
    <w:rsid w:val="7B6E46FD"/>
    <w:rsid w:val="7BB3583C"/>
    <w:rsid w:val="7C655EFC"/>
    <w:rsid w:val="7C743861"/>
    <w:rsid w:val="7CF616F9"/>
    <w:rsid w:val="7D1523C2"/>
    <w:rsid w:val="7F030B34"/>
    <w:rsid w:val="7F1505CC"/>
    <w:rsid w:val="7F237DED"/>
    <w:rsid w:val="7FD52A61"/>
    <w:rsid w:val="F7EF7E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asciiTheme="minorAscii" w:hAnsiTheme="minorAscii"/>
      <w:b/>
      <w:bCs/>
      <w:kern w:val="44"/>
      <w:sz w:val="32"/>
      <w:szCs w:val="44"/>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fontstyle01"/>
    <w:basedOn w:val="6"/>
    <w:qFormat/>
    <w:uiPriority w:val="0"/>
    <w:rPr>
      <w:rFonts w:ascii="MicrosoftYaHei-Bold" w:hAnsi="MicrosoftYaHei-Bold" w:eastAsia="MicrosoftYaHei-Bold" w:cs="MicrosoftYaHei-Bold"/>
      <w:b/>
      <w:color w:val="000000"/>
      <w:sz w:val="32"/>
      <w:szCs w:val="32"/>
    </w:rPr>
  </w:style>
  <w:style w:type="character" w:customStyle="1" w:styleId="9">
    <w:name w:val="font21"/>
    <w:basedOn w:val="6"/>
    <w:qFormat/>
    <w:uiPriority w:val="0"/>
    <w:rPr>
      <w:rFonts w:hint="eastAsia" w:ascii="宋体" w:hAnsi="宋体" w:eastAsia="宋体" w:cs="宋体"/>
      <w:b/>
      <w:color w:val="000000"/>
      <w:sz w:val="22"/>
      <w:szCs w:val="22"/>
      <w:u w:val="none"/>
    </w:rPr>
  </w:style>
  <w:style w:type="character" w:customStyle="1" w:styleId="10">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2019-12-24T11:18:00Z</dcterms:created>
  <dc:creator>号外</dc:creator>
  <cp:lastModifiedBy>号外</cp:lastModifiedBy>
  <dcterms:modified xsi:type="dcterms:W3CDTF">2020-06-01T01:12:15Z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